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38731">
      <w:pPr>
        <w:keepNext w:val="0"/>
        <w:keepLines w:val="0"/>
        <w:pageBreakBefore w:val="0"/>
        <w:kinsoku/>
        <w:wordWrap/>
        <w:overflowPunct/>
        <w:topLinePunct w:val="0"/>
        <w:autoSpaceDE/>
        <w:autoSpaceDN/>
        <w:bidi w:val="0"/>
        <w:adjustRightInd w:val="0"/>
        <w:snapToGrid w:val="0"/>
        <w:spacing w:before="100" w:beforeAutospacing="1" w:after="100" w:afterAutospacing="1" w:line="570" w:lineRule="exact"/>
        <w:jc w:val="center"/>
        <w:rPr>
          <w:rFonts w:ascii="方正小标宋简体" w:hAnsi="宋体" w:eastAsia="方正小标宋简体" w:cs="微软雅黑"/>
          <w:sz w:val="44"/>
          <w:szCs w:val="44"/>
        </w:rPr>
      </w:pPr>
      <w:r>
        <w:rPr>
          <w:rFonts w:hint="eastAsia" w:ascii="方正小标宋简体" w:hAnsi="宋体" w:eastAsia="方正小标宋简体" w:cs="微软雅黑"/>
          <w:sz w:val="44"/>
          <w:szCs w:val="44"/>
        </w:rPr>
        <w:t>商船学院2024-2025学年硕士研究生学业奖学金评选细则</w:t>
      </w:r>
    </w:p>
    <w:p w14:paraId="38A38732">
      <w:pPr>
        <w:keepNext w:val="0"/>
        <w:keepLines w:val="0"/>
        <w:pageBreakBefore w:val="0"/>
        <w:kinsoku/>
        <w:wordWrap/>
        <w:overflowPunct/>
        <w:topLinePunct w:val="0"/>
        <w:autoSpaceDE/>
        <w:autoSpaceDN/>
        <w:bidi w:val="0"/>
        <w:adjustRightInd w:val="0"/>
        <w:snapToGrid w:val="0"/>
        <w:spacing w:before="100" w:beforeAutospacing="1" w:after="100" w:afterAutospacing="1" w:line="570" w:lineRule="exact"/>
        <w:jc w:val="center"/>
        <w:rPr>
          <w:rFonts w:ascii="仿宋_GB2312" w:hAnsi="宋体" w:eastAsia="仿宋_GB2312" w:cs="微软雅黑"/>
          <w:sz w:val="32"/>
          <w:szCs w:val="32"/>
        </w:rPr>
      </w:pPr>
      <w:bookmarkStart w:id="0" w:name="_Hlk176973325"/>
      <w:r>
        <w:rPr>
          <w:rFonts w:hint="eastAsia" w:ascii="仿宋_GB2312" w:hAnsi="宋体" w:eastAsia="仿宋_GB2312" w:cs="微软雅黑"/>
          <w:sz w:val="32"/>
          <w:szCs w:val="32"/>
        </w:rPr>
        <w:t>2025年</w:t>
      </w:r>
      <w:r>
        <w:rPr>
          <w:rFonts w:ascii="仿宋_GB2312" w:hAnsi="宋体" w:eastAsia="仿宋_GB2312" w:cs="微软雅黑"/>
          <w:sz w:val="32"/>
          <w:szCs w:val="32"/>
        </w:rPr>
        <w:t>9</w:t>
      </w:r>
      <w:r>
        <w:rPr>
          <w:rFonts w:hint="eastAsia" w:ascii="仿宋_GB2312" w:hAnsi="宋体" w:eastAsia="仿宋_GB2312" w:cs="微软雅黑"/>
          <w:sz w:val="32"/>
          <w:szCs w:val="32"/>
        </w:rPr>
        <w:t>月</w:t>
      </w:r>
    </w:p>
    <w:bookmarkEnd w:id="0"/>
    <w:p w14:paraId="38A38733">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第一条</w:t>
      </w:r>
      <w:r>
        <w:rPr>
          <w:rFonts w:ascii="仿宋_GB2312" w:hAnsi="宋体" w:eastAsia="仿宋_GB2312" w:cs="微软雅黑"/>
          <w:sz w:val="32"/>
          <w:szCs w:val="32"/>
        </w:rPr>
        <w:tab/>
      </w:r>
      <w:r>
        <w:rPr>
          <w:rFonts w:ascii="仿宋_GB2312" w:hAnsi="宋体" w:eastAsia="仿宋_GB2312" w:cs="微软雅黑"/>
          <w:sz w:val="32"/>
          <w:szCs w:val="32"/>
        </w:rPr>
        <w:t xml:space="preserve"> </w:t>
      </w:r>
      <w:r>
        <w:rPr>
          <w:rFonts w:hint="eastAsia" w:ascii="仿宋_GB2312" w:hAnsi="宋体" w:eastAsia="仿宋_GB2312" w:cs="微软雅黑"/>
          <w:sz w:val="32"/>
          <w:szCs w:val="32"/>
        </w:rPr>
        <w:t>为提高生源质量，激励研究生勤奋学习、潜心科研、勇于创新、积极进取，促进学校学位与研究生教育工作的发展，吸引更多优秀考生报考我校，结合学校实际情况，落实《上海海事大学研究生奖助学金管理办法》（沪海大研〔2024〕108号）文件及相关通知精神，商船学院特制定2023级、2024级、2025级硕士研究生的学业奖学金的评选细则。</w:t>
      </w:r>
    </w:p>
    <w:p w14:paraId="38A38734">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第二条</w:t>
      </w:r>
      <w:r>
        <w:rPr>
          <w:rFonts w:ascii="仿宋_GB2312" w:hAnsi="宋体" w:eastAsia="仿宋_GB2312" w:cs="微软雅黑"/>
          <w:b/>
          <w:bCs/>
          <w:sz w:val="32"/>
          <w:szCs w:val="32"/>
        </w:rPr>
        <w:tab/>
      </w:r>
      <w:r>
        <w:rPr>
          <w:rFonts w:ascii="仿宋_GB2312" w:hAnsi="宋体" w:eastAsia="仿宋_GB2312" w:cs="微软雅黑"/>
          <w:b/>
          <w:bCs/>
          <w:sz w:val="32"/>
          <w:szCs w:val="32"/>
        </w:rPr>
        <w:t xml:space="preserve"> </w:t>
      </w:r>
      <w:r>
        <w:rPr>
          <w:rFonts w:hint="eastAsia" w:ascii="仿宋_GB2312" w:hAnsi="宋体" w:eastAsia="仿宋_GB2312" w:cs="微软雅黑"/>
          <w:sz w:val="32"/>
          <w:szCs w:val="32"/>
        </w:rPr>
        <w:t>评选对象：</w:t>
      </w:r>
    </w:p>
    <w:p w14:paraId="38A38735">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2023、2024级、2025级的中国籍非定向在校全日制硕士研究生（基本学制年限内）。</w:t>
      </w:r>
    </w:p>
    <w:p w14:paraId="38A38736">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根据中华人民共和国教育部令第41号《普通高等学校学生管理规定》第十二条规定未按学校规定缴纳学费，不予注册，也无法申请学业奖学金(申请贷款学生等特殊学生除外，但需要提供贷款证明等材料)。</w:t>
      </w:r>
    </w:p>
    <w:p w14:paraId="38A38737">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第三条</w:t>
      </w:r>
      <w:r>
        <w:rPr>
          <w:rFonts w:ascii="仿宋_GB2312" w:hAnsi="宋体" w:eastAsia="仿宋_GB2312" w:cs="微软雅黑"/>
          <w:b/>
          <w:bCs/>
          <w:sz w:val="32"/>
          <w:szCs w:val="32"/>
        </w:rPr>
        <w:tab/>
      </w:r>
      <w:r>
        <w:rPr>
          <w:rFonts w:ascii="仿宋_GB2312" w:hAnsi="宋体" w:eastAsia="仿宋_GB2312" w:cs="微软雅黑"/>
          <w:b/>
          <w:bCs/>
          <w:sz w:val="32"/>
          <w:szCs w:val="32"/>
        </w:rPr>
        <w:t xml:space="preserve"> </w:t>
      </w:r>
      <w:r>
        <w:rPr>
          <w:rFonts w:hint="eastAsia" w:ascii="仿宋_GB2312" w:hAnsi="宋体" w:eastAsia="仿宋_GB2312" w:cs="微软雅黑"/>
          <w:sz w:val="32"/>
          <w:szCs w:val="32"/>
        </w:rPr>
        <w:t>本奖学金评选实施细则不适用于学院设置的其它各类专项研究生奖学金。</w:t>
      </w:r>
    </w:p>
    <w:p w14:paraId="38A38738">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第四条</w:t>
      </w:r>
      <w:r>
        <w:rPr>
          <w:rFonts w:ascii="仿宋_GB2312" w:hAnsi="宋体" w:eastAsia="仿宋_GB2312" w:cs="微软雅黑"/>
          <w:sz w:val="32"/>
          <w:szCs w:val="32"/>
        </w:rPr>
        <w:tab/>
      </w:r>
      <w:r>
        <w:rPr>
          <w:rFonts w:ascii="仿宋_GB2312" w:hAnsi="宋体" w:eastAsia="仿宋_GB2312" w:cs="微软雅黑"/>
          <w:sz w:val="32"/>
          <w:szCs w:val="32"/>
        </w:rPr>
        <w:t xml:space="preserve"> </w:t>
      </w:r>
      <w:r>
        <w:rPr>
          <w:rFonts w:hint="eastAsia" w:ascii="仿宋_GB2312" w:hAnsi="宋体" w:eastAsia="仿宋_GB2312" w:cs="微软雅黑"/>
          <w:sz w:val="32"/>
          <w:szCs w:val="32"/>
        </w:rPr>
        <w:t xml:space="preserve">硕士研究生学业奖学金评选条件： </w:t>
      </w:r>
    </w:p>
    <w:p w14:paraId="38A3873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kern w:val="0"/>
          <w:sz w:val="32"/>
          <w:szCs w:val="32"/>
        </w:rPr>
      </w:pPr>
      <w:r>
        <w:rPr>
          <w:rFonts w:hint="eastAsia" w:ascii="仿宋_GB2312" w:hAnsi="宋体" w:eastAsia="仿宋_GB2312" w:cs="微软雅黑"/>
          <w:kern w:val="0"/>
          <w:sz w:val="32"/>
          <w:szCs w:val="32"/>
        </w:rPr>
        <w:t>1</w:t>
      </w:r>
      <w:r>
        <w:rPr>
          <w:rFonts w:ascii="仿宋_GB2312" w:hAnsi="宋体" w:eastAsia="仿宋_GB2312" w:cs="微软雅黑"/>
          <w:kern w:val="0"/>
          <w:sz w:val="32"/>
          <w:szCs w:val="32"/>
        </w:rPr>
        <w:t>.</w:t>
      </w:r>
      <w:r>
        <w:rPr>
          <w:rFonts w:hint="eastAsia" w:ascii="仿宋_GB2312" w:hAnsi="宋体" w:eastAsia="仿宋_GB2312" w:cs="微软雅黑"/>
          <w:kern w:val="0"/>
          <w:sz w:val="32"/>
          <w:szCs w:val="32"/>
        </w:rPr>
        <w:t>热爱社会主义祖国，拥护中国共产党的领导；</w:t>
      </w:r>
    </w:p>
    <w:p w14:paraId="38A3873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kern w:val="0"/>
          <w:sz w:val="32"/>
          <w:szCs w:val="32"/>
        </w:rPr>
      </w:pPr>
      <w:r>
        <w:rPr>
          <w:rFonts w:hint="eastAsia" w:ascii="仿宋_GB2312" w:hAnsi="宋体" w:eastAsia="仿宋_GB2312" w:cs="微软雅黑"/>
          <w:kern w:val="0"/>
          <w:sz w:val="32"/>
          <w:szCs w:val="32"/>
        </w:rPr>
        <w:t>2</w:t>
      </w:r>
      <w:r>
        <w:rPr>
          <w:rFonts w:ascii="仿宋_GB2312" w:hAnsi="宋体" w:eastAsia="仿宋_GB2312" w:cs="微软雅黑"/>
          <w:kern w:val="0"/>
          <w:sz w:val="32"/>
          <w:szCs w:val="32"/>
        </w:rPr>
        <w:t>.</w:t>
      </w:r>
      <w:r>
        <w:rPr>
          <w:rFonts w:hint="eastAsia" w:ascii="仿宋_GB2312" w:hAnsi="宋体" w:eastAsia="仿宋_GB2312" w:cs="微软雅黑"/>
          <w:kern w:val="0"/>
          <w:sz w:val="32"/>
          <w:szCs w:val="32"/>
        </w:rPr>
        <w:t xml:space="preserve">遵守宪法和法律，遵守学校规章制度； </w:t>
      </w:r>
    </w:p>
    <w:p w14:paraId="38A3873B">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3</w:t>
      </w:r>
      <w:r>
        <w:rPr>
          <w:rFonts w:ascii="仿宋_GB2312" w:hAnsi="宋体" w:eastAsia="仿宋_GB2312" w:cs="微软雅黑"/>
          <w:sz w:val="32"/>
          <w:szCs w:val="32"/>
        </w:rPr>
        <w:t>.</w:t>
      </w:r>
      <w:r>
        <w:rPr>
          <w:rFonts w:hint="eastAsia" w:ascii="仿宋_GB2312" w:hAnsi="宋体" w:eastAsia="仿宋_GB2312" w:cs="微软雅黑"/>
          <w:sz w:val="32"/>
          <w:szCs w:val="32"/>
        </w:rPr>
        <w:t>诚实守信，品学兼优；</w:t>
      </w:r>
    </w:p>
    <w:p w14:paraId="38A3873C">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4</w:t>
      </w:r>
      <w:r>
        <w:rPr>
          <w:rFonts w:ascii="仿宋_GB2312" w:hAnsi="宋体" w:eastAsia="仿宋_GB2312" w:cs="微软雅黑"/>
          <w:sz w:val="32"/>
          <w:szCs w:val="32"/>
        </w:rPr>
        <w:t>.</w:t>
      </w:r>
      <w:r>
        <w:rPr>
          <w:rFonts w:hint="eastAsia" w:ascii="仿宋_GB2312" w:hAnsi="宋体" w:eastAsia="仿宋_GB2312" w:cs="微软雅黑"/>
          <w:sz w:val="32"/>
          <w:szCs w:val="32"/>
        </w:rPr>
        <w:t>有较强的科研潜力。</w:t>
      </w:r>
    </w:p>
    <w:p w14:paraId="38A3873D">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第五条</w:t>
      </w:r>
      <w:r>
        <w:rPr>
          <w:rFonts w:ascii="仿宋_GB2312" w:hAnsi="宋体" w:eastAsia="仿宋_GB2312" w:cs="微软雅黑"/>
          <w:sz w:val="32"/>
          <w:szCs w:val="32"/>
        </w:rPr>
        <w:tab/>
      </w:r>
      <w:r>
        <w:rPr>
          <w:rFonts w:ascii="仿宋_GB2312" w:hAnsi="宋体" w:eastAsia="仿宋_GB2312" w:cs="微软雅黑"/>
          <w:sz w:val="32"/>
          <w:szCs w:val="32"/>
        </w:rPr>
        <w:t xml:space="preserve"> </w:t>
      </w:r>
      <w:r>
        <w:rPr>
          <w:rFonts w:hint="eastAsia" w:ascii="仿宋_GB2312" w:hAnsi="宋体" w:eastAsia="仿宋_GB2312" w:cs="微软雅黑"/>
          <w:sz w:val="32"/>
          <w:szCs w:val="32"/>
        </w:rPr>
        <w:t>学业奖学金奖励额度和评选名额：</w:t>
      </w:r>
    </w:p>
    <w:p w14:paraId="57CA0B94">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研究生学业奖学金奖励额度和比例见《上海海事大学研究生奖助学金管理办法》（沪海大研〔2024〕108号）。硕士研究生学业奖学金按照各学科专业型和学术型分开进行评选。具体人数按照学校相关要求进行分配，具体人数如下：</w:t>
      </w:r>
    </w:p>
    <w:tbl>
      <w:tblPr>
        <w:tblW w:w="8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453"/>
        <w:gridCol w:w="1541"/>
        <w:gridCol w:w="1609"/>
        <w:gridCol w:w="1623"/>
      </w:tblGrid>
      <w:tr w14:paraId="6B84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6"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5F9580A">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班级专业</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14:paraId="4DCEFA28">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一等奖</w:t>
            </w:r>
          </w:p>
        </w:tc>
        <w:tc>
          <w:tcPr>
            <w:tcW w:w="1609" w:type="dxa"/>
            <w:tcBorders>
              <w:top w:val="single" w:color="000000" w:sz="4" w:space="0"/>
              <w:left w:val="single" w:color="000000" w:sz="4" w:space="0"/>
              <w:bottom w:val="single" w:color="000000" w:sz="4" w:space="0"/>
              <w:right w:val="single" w:color="000000" w:sz="4" w:space="0"/>
            </w:tcBorders>
            <w:shd w:val="clear"/>
            <w:noWrap/>
            <w:vAlign w:val="center"/>
          </w:tcPr>
          <w:p w14:paraId="516FFA40">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二等奖</w:t>
            </w:r>
          </w:p>
        </w:tc>
        <w:tc>
          <w:tcPr>
            <w:tcW w:w="1623" w:type="dxa"/>
            <w:tcBorders>
              <w:top w:val="single" w:color="000000" w:sz="4" w:space="0"/>
              <w:left w:val="single" w:color="000000" w:sz="4" w:space="0"/>
              <w:bottom w:val="single" w:color="000000" w:sz="4" w:space="0"/>
              <w:right w:val="single" w:color="000000" w:sz="4" w:space="0"/>
            </w:tcBorders>
            <w:shd w:val="clear"/>
            <w:noWrap/>
            <w:vAlign w:val="center"/>
          </w:tcPr>
          <w:p w14:paraId="20C07AF6">
            <w:pPr>
              <w:widowControl/>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val="en-US" w:eastAsia="zh-CN" w:bidi="ar"/>
              </w:rPr>
              <w:t>三等奖</w:t>
            </w:r>
          </w:p>
        </w:tc>
      </w:tr>
      <w:tr w14:paraId="2975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2F2CF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2023级交通信息工程及控制</w:t>
            </w:r>
          </w:p>
        </w:tc>
        <w:tc>
          <w:tcPr>
            <w:tcW w:w="1541"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E76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6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801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62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C123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r>
      <w:tr w14:paraId="03B6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669CA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2023级载运工具运用工程</w:t>
            </w:r>
          </w:p>
        </w:tc>
        <w:tc>
          <w:tcPr>
            <w:tcW w:w="154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22B12C">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B3177E">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ECEA132">
            <w:pPr>
              <w:jc w:val="center"/>
              <w:rPr>
                <w:rFonts w:hint="eastAsia" w:ascii="宋体" w:hAnsi="宋体" w:eastAsia="宋体" w:cs="宋体"/>
                <w:i w:val="0"/>
                <w:iCs w:val="0"/>
                <w:color w:val="000000"/>
                <w:sz w:val="20"/>
                <w:szCs w:val="20"/>
                <w:u w:val="none"/>
              </w:rPr>
            </w:pPr>
          </w:p>
        </w:tc>
      </w:tr>
      <w:tr w14:paraId="7CC5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D2C0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2023级轮机工程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3F9A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5A53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62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F10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r>
      <w:tr w14:paraId="27BE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685FF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2023级船舶与海洋结构物制造</w:t>
            </w:r>
          </w:p>
        </w:tc>
        <w:tc>
          <w:tcPr>
            <w:tcW w:w="154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31075B">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0299D2F">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7A5C90E">
            <w:pPr>
              <w:jc w:val="center"/>
              <w:rPr>
                <w:rFonts w:hint="eastAsia" w:ascii="宋体" w:hAnsi="宋体" w:eastAsia="宋体" w:cs="宋体"/>
                <w:i w:val="0"/>
                <w:iCs w:val="0"/>
                <w:color w:val="000000"/>
                <w:sz w:val="20"/>
                <w:szCs w:val="20"/>
                <w:u w:val="none"/>
              </w:rPr>
            </w:pPr>
          </w:p>
        </w:tc>
      </w:tr>
      <w:tr w14:paraId="3C0F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28FD4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2023级动力工程及工程热物理</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14:paraId="1044F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noWrap/>
            <w:vAlign w:val="center"/>
          </w:tcPr>
          <w:p w14:paraId="5A96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shd w:val="clear"/>
            <w:noWrap/>
            <w:vAlign w:val="center"/>
          </w:tcPr>
          <w:p w14:paraId="1C73B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r>
      <w:tr w14:paraId="4F37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419B5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2023级安全科学与工程</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14:paraId="7125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noWrap/>
            <w:vAlign w:val="center"/>
          </w:tcPr>
          <w:p w14:paraId="6DC0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623" w:type="dxa"/>
            <w:tcBorders>
              <w:top w:val="single" w:color="000000" w:sz="4" w:space="0"/>
              <w:left w:val="single" w:color="000000" w:sz="4" w:space="0"/>
              <w:bottom w:val="single" w:color="000000" w:sz="4" w:space="0"/>
              <w:right w:val="single" w:color="000000" w:sz="4" w:space="0"/>
            </w:tcBorders>
            <w:shd w:val="clear"/>
            <w:noWrap/>
            <w:vAlign w:val="center"/>
          </w:tcPr>
          <w:p w14:paraId="09AAC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r>
      <w:tr w14:paraId="03FD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20943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2024级水路交通运输</w:t>
            </w:r>
          </w:p>
        </w:tc>
        <w:tc>
          <w:tcPr>
            <w:tcW w:w="1541"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5D2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6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E23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62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2BF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r>
      <w:tr w14:paraId="164B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658D6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2024级人工智能</w:t>
            </w:r>
          </w:p>
        </w:tc>
        <w:tc>
          <w:tcPr>
            <w:tcW w:w="154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4E267B">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0D60F7">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605436">
            <w:pPr>
              <w:jc w:val="center"/>
              <w:rPr>
                <w:rFonts w:hint="eastAsia" w:ascii="宋体" w:hAnsi="宋体" w:eastAsia="宋体" w:cs="宋体"/>
                <w:i w:val="0"/>
                <w:iCs w:val="0"/>
                <w:color w:val="000000"/>
                <w:sz w:val="20"/>
                <w:szCs w:val="20"/>
                <w:u w:val="none"/>
              </w:rPr>
            </w:pPr>
          </w:p>
        </w:tc>
      </w:tr>
      <w:tr w14:paraId="1BA8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2CC5D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2024交通信息工程及控制</w:t>
            </w:r>
          </w:p>
        </w:tc>
        <w:tc>
          <w:tcPr>
            <w:tcW w:w="1541"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75D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6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86A0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62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634D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r>
      <w:tr w14:paraId="7497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4F50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2024级载运工具运用工程</w:t>
            </w:r>
          </w:p>
        </w:tc>
        <w:tc>
          <w:tcPr>
            <w:tcW w:w="154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432A33">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477E0D">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F7EB80">
            <w:pPr>
              <w:jc w:val="center"/>
              <w:rPr>
                <w:rFonts w:hint="eastAsia" w:ascii="宋体" w:hAnsi="宋体" w:eastAsia="宋体" w:cs="宋体"/>
                <w:i w:val="0"/>
                <w:iCs w:val="0"/>
                <w:color w:val="000000"/>
                <w:sz w:val="20"/>
                <w:szCs w:val="20"/>
                <w:u w:val="none"/>
              </w:rPr>
            </w:pPr>
          </w:p>
        </w:tc>
      </w:tr>
      <w:tr w14:paraId="4E98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1EFEF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2024级海洋工程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2928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6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5EBD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62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CFAA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2648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02529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2024级船舶工程</w:t>
            </w:r>
          </w:p>
        </w:tc>
        <w:tc>
          <w:tcPr>
            <w:tcW w:w="154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53C703">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619232">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E5D28F">
            <w:pPr>
              <w:jc w:val="center"/>
              <w:rPr>
                <w:rFonts w:hint="eastAsia" w:ascii="宋体" w:hAnsi="宋体" w:eastAsia="宋体" w:cs="宋体"/>
                <w:i w:val="0"/>
                <w:iCs w:val="0"/>
                <w:color w:val="000000"/>
                <w:sz w:val="20"/>
                <w:szCs w:val="20"/>
                <w:u w:val="none"/>
              </w:rPr>
            </w:pPr>
          </w:p>
        </w:tc>
      </w:tr>
      <w:tr w14:paraId="1443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84CD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2024级轮机工程</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14:paraId="31406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noWrap/>
            <w:vAlign w:val="center"/>
          </w:tcPr>
          <w:p w14:paraId="14EE7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623" w:type="dxa"/>
            <w:tcBorders>
              <w:top w:val="single" w:color="000000" w:sz="4" w:space="0"/>
              <w:left w:val="single" w:color="000000" w:sz="4" w:space="0"/>
              <w:bottom w:val="single" w:color="000000" w:sz="4" w:space="0"/>
              <w:right w:val="single" w:color="000000" w:sz="4" w:space="0"/>
            </w:tcBorders>
            <w:shd w:val="clear"/>
            <w:noWrap/>
            <w:vAlign w:val="center"/>
          </w:tcPr>
          <w:p w14:paraId="75DA2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7CC2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18219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2024级动力工程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82C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609"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8409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623"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C2A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r>
      <w:tr w14:paraId="1DF1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9F6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2024级清洁能源技术</w:t>
            </w:r>
          </w:p>
        </w:tc>
        <w:tc>
          <w:tcPr>
            <w:tcW w:w="154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7DF85E">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E1C86D">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40A2E99">
            <w:pPr>
              <w:jc w:val="center"/>
              <w:rPr>
                <w:rFonts w:hint="eastAsia" w:ascii="宋体" w:hAnsi="宋体" w:eastAsia="宋体" w:cs="宋体"/>
                <w:i w:val="0"/>
                <w:iCs w:val="0"/>
                <w:color w:val="000000"/>
                <w:sz w:val="20"/>
                <w:szCs w:val="20"/>
                <w:u w:val="none"/>
              </w:rPr>
            </w:pPr>
          </w:p>
        </w:tc>
      </w:tr>
      <w:tr w14:paraId="42AE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0E927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2024级动力工程及工程热物理</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14:paraId="0604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noWrap/>
            <w:vAlign w:val="center"/>
          </w:tcPr>
          <w:p w14:paraId="52A4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623" w:type="dxa"/>
            <w:tcBorders>
              <w:top w:val="single" w:color="000000" w:sz="4" w:space="0"/>
              <w:left w:val="single" w:color="000000" w:sz="4" w:space="0"/>
              <w:bottom w:val="single" w:color="000000" w:sz="4" w:space="0"/>
              <w:right w:val="single" w:color="000000" w:sz="4" w:space="0"/>
            </w:tcBorders>
            <w:shd w:val="clear"/>
            <w:noWrap/>
            <w:vAlign w:val="center"/>
          </w:tcPr>
          <w:p w14:paraId="47CF6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3243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72412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2024级安全科学与工程</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14:paraId="334CF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noWrap/>
            <w:vAlign w:val="center"/>
          </w:tcPr>
          <w:p w14:paraId="0C327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623" w:type="dxa"/>
            <w:tcBorders>
              <w:top w:val="single" w:color="000000" w:sz="4" w:space="0"/>
              <w:left w:val="single" w:color="000000" w:sz="4" w:space="0"/>
              <w:bottom w:val="single" w:color="000000" w:sz="4" w:space="0"/>
              <w:right w:val="single" w:color="000000" w:sz="4" w:space="0"/>
            </w:tcBorders>
            <w:shd w:val="clear"/>
            <w:noWrap/>
            <w:vAlign w:val="center"/>
          </w:tcPr>
          <w:p w14:paraId="13F9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r>
      <w:tr w14:paraId="3C34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4D0C3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2025级水路交通运输</w:t>
            </w:r>
          </w:p>
        </w:tc>
        <w:tc>
          <w:tcPr>
            <w:tcW w:w="15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50A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60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962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62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BDE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D42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6F6B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2025级人工智能</w:t>
            </w:r>
          </w:p>
        </w:tc>
        <w:tc>
          <w:tcPr>
            <w:tcW w:w="15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744606">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E7F38A">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4D3276">
            <w:pPr>
              <w:jc w:val="center"/>
              <w:rPr>
                <w:rFonts w:hint="eastAsia" w:ascii="宋体" w:hAnsi="宋体" w:eastAsia="宋体" w:cs="宋体"/>
                <w:i w:val="0"/>
                <w:iCs w:val="0"/>
                <w:color w:val="000000"/>
                <w:sz w:val="20"/>
                <w:szCs w:val="20"/>
                <w:u w:val="none"/>
              </w:rPr>
            </w:pPr>
          </w:p>
        </w:tc>
      </w:tr>
      <w:tr w14:paraId="7504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5A3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2025级交通信息工程及控制</w:t>
            </w:r>
          </w:p>
        </w:tc>
        <w:tc>
          <w:tcPr>
            <w:tcW w:w="15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E7A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60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B16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62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6D5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1C2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386EC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2025级载运工具运用工程</w:t>
            </w:r>
          </w:p>
        </w:tc>
        <w:tc>
          <w:tcPr>
            <w:tcW w:w="15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9522E7">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AB65E0">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4B4937">
            <w:pPr>
              <w:jc w:val="center"/>
              <w:rPr>
                <w:rFonts w:hint="eastAsia" w:ascii="宋体" w:hAnsi="宋体" w:eastAsia="宋体" w:cs="宋体"/>
                <w:i w:val="0"/>
                <w:iCs w:val="0"/>
                <w:color w:val="000000"/>
                <w:sz w:val="20"/>
                <w:szCs w:val="20"/>
                <w:u w:val="none"/>
              </w:rPr>
            </w:pPr>
          </w:p>
        </w:tc>
      </w:tr>
      <w:tr w14:paraId="139B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0054F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2025级海洋工程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72C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609"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55A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62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62C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571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2326E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2025级船舶工程</w:t>
            </w:r>
          </w:p>
        </w:tc>
        <w:tc>
          <w:tcPr>
            <w:tcW w:w="15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8CF27A">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6E4D7F">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5FEB39">
            <w:pPr>
              <w:jc w:val="center"/>
              <w:rPr>
                <w:rFonts w:hint="eastAsia" w:ascii="宋体" w:hAnsi="宋体" w:eastAsia="宋体" w:cs="宋体"/>
                <w:i w:val="0"/>
                <w:iCs w:val="0"/>
                <w:color w:val="000000"/>
                <w:sz w:val="20"/>
                <w:szCs w:val="20"/>
                <w:u w:val="none"/>
              </w:rPr>
            </w:pPr>
          </w:p>
        </w:tc>
      </w:tr>
      <w:tr w14:paraId="38B5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0B72B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2025级轮机工程</w:t>
            </w:r>
          </w:p>
        </w:tc>
        <w:tc>
          <w:tcPr>
            <w:tcW w:w="1541" w:type="dxa"/>
            <w:tcBorders>
              <w:top w:val="single" w:color="000000" w:sz="4" w:space="0"/>
              <w:left w:val="single" w:color="000000" w:sz="4" w:space="0"/>
              <w:bottom w:val="single" w:color="000000" w:sz="4" w:space="0"/>
              <w:right w:val="single" w:color="000000" w:sz="4" w:space="0"/>
            </w:tcBorders>
            <w:shd w:val="clear"/>
            <w:vAlign w:val="center"/>
          </w:tcPr>
          <w:p w14:paraId="5535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14:paraId="149DF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2B15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31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7E497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2025级动力工程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EC9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60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158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62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F02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DF1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53079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2025级清洁能源技术</w:t>
            </w:r>
          </w:p>
        </w:tc>
        <w:tc>
          <w:tcPr>
            <w:tcW w:w="15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C0B0FA">
            <w:pPr>
              <w:jc w:val="center"/>
              <w:rPr>
                <w:rFonts w:hint="eastAsia" w:ascii="宋体" w:hAnsi="宋体" w:eastAsia="宋体" w:cs="宋体"/>
                <w:i w:val="0"/>
                <w:iCs w:val="0"/>
                <w:color w:val="000000"/>
                <w:sz w:val="20"/>
                <w:szCs w:val="20"/>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381E58">
            <w:pPr>
              <w:jc w:val="center"/>
              <w:rPr>
                <w:rFonts w:hint="eastAsia" w:ascii="宋体" w:hAnsi="宋体" w:eastAsia="宋体" w:cs="宋体"/>
                <w:i w:val="0"/>
                <w:iCs w:val="0"/>
                <w:color w:val="000000"/>
                <w:sz w:val="20"/>
                <w:szCs w:val="20"/>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4229E2">
            <w:pPr>
              <w:jc w:val="center"/>
              <w:rPr>
                <w:rFonts w:hint="eastAsia" w:ascii="宋体" w:hAnsi="宋体" w:eastAsia="宋体" w:cs="宋体"/>
                <w:i w:val="0"/>
                <w:iCs w:val="0"/>
                <w:color w:val="000000"/>
                <w:sz w:val="20"/>
                <w:szCs w:val="20"/>
                <w:u w:val="none"/>
              </w:rPr>
            </w:pPr>
          </w:p>
        </w:tc>
      </w:tr>
      <w:tr w14:paraId="3C6A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61EB5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2025级动力工程及工程热物理</w:t>
            </w:r>
          </w:p>
        </w:tc>
        <w:tc>
          <w:tcPr>
            <w:tcW w:w="1541" w:type="dxa"/>
            <w:tcBorders>
              <w:top w:val="single" w:color="000000" w:sz="4" w:space="0"/>
              <w:left w:val="single" w:color="000000" w:sz="4" w:space="0"/>
              <w:bottom w:val="single" w:color="000000" w:sz="4" w:space="0"/>
              <w:right w:val="single" w:color="000000" w:sz="4" w:space="0"/>
            </w:tcBorders>
            <w:shd w:val="clear"/>
            <w:vAlign w:val="center"/>
          </w:tcPr>
          <w:p w14:paraId="3CC2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14:paraId="4454A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623" w:type="dxa"/>
            <w:tcBorders>
              <w:top w:val="single" w:color="000000" w:sz="4" w:space="0"/>
              <w:left w:val="single" w:color="000000" w:sz="4" w:space="0"/>
              <w:bottom w:val="single" w:color="000000" w:sz="4" w:space="0"/>
              <w:right w:val="single" w:color="000000" w:sz="4" w:space="0"/>
            </w:tcBorders>
            <w:shd w:val="clear"/>
            <w:vAlign w:val="center"/>
          </w:tcPr>
          <w:p w14:paraId="7ED1C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6313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53" w:type="dxa"/>
            <w:tcBorders>
              <w:top w:val="single" w:color="000000" w:sz="4" w:space="0"/>
              <w:left w:val="single" w:color="000000" w:sz="4" w:space="0"/>
              <w:bottom w:val="single" w:color="000000" w:sz="4" w:space="0"/>
              <w:right w:val="single" w:color="000000" w:sz="4" w:space="0"/>
            </w:tcBorders>
            <w:shd w:val="clear"/>
            <w:noWrap/>
            <w:vAlign w:val="center"/>
          </w:tcPr>
          <w:p w14:paraId="765E4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2025安全科学与工程</w:t>
            </w:r>
          </w:p>
        </w:tc>
        <w:tc>
          <w:tcPr>
            <w:tcW w:w="1541" w:type="dxa"/>
            <w:tcBorders>
              <w:top w:val="single" w:color="000000" w:sz="4" w:space="0"/>
              <w:left w:val="single" w:color="000000" w:sz="4" w:space="0"/>
              <w:bottom w:val="single" w:color="000000" w:sz="4" w:space="0"/>
              <w:right w:val="single" w:color="000000" w:sz="4" w:space="0"/>
            </w:tcBorders>
            <w:shd w:val="clear"/>
            <w:noWrap/>
            <w:vAlign w:val="center"/>
          </w:tcPr>
          <w:p w14:paraId="2FB61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noWrap/>
            <w:vAlign w:val="center"/>
          </w:tcPr>
          <w:p w14:paraId="5007E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623" w:type="dxa"/>
            <w:tcBorders>
              <w:top w:val="single" w:color="000000" w:sz="4" w:space="0"/>
              <w:left w:val="single" w:color="000000" w:sz="4" w:space="0"/>
              <w:bottom w:val="single" w:color="000000" w:sz="4" w:space="0"/>
              <w:right w:val="single" w:color="000000" w:sz="4" w:space="0"/>
            </w:tcBorders>
            <w:shd w:val="clear"/>
            <w:noWrap/>
            <w:vAlign w:val="center"/>
          </w:tcPr>
          <w:p w14:paraId="7FD9C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bl>
    <w:p w14:paraId="73AB3971">
      <w:pPr>
        <w:keepNext w:val="0"/>
        <w:keepLines w:val="0"/>
        <w:pageBreakBefore w:val="0"/>
        <w:kinsoku/>
        <w:wordWrap/>
        <w:overflowPunct/>
        <w:topLinePunct w:val="0"/>
        <w:autoSpaceDE/>
        <w:autoSpaceDN/>
        <w:bidi w:val="0"/>
        <w:adjustRightInd w:val="0"/>
        <w:snapToGrid w:val="0"/>
        <w:spacing w:line="570" w:lineRule="exact"/>
        <w:rPr>
          <w:rFonts w:ascii="仿宋_GB2312" w:hAnsi="宋体" w:eastAsia="仿宋_GB2312" w:cs="微软雅黑"/>
          <w:sz w:val="32"/>
          <w:szCs w:val="32"/>
        </w:rPr>
        <w:sectPr>
          <w:footerReference r:id="rId3" w:type="default"/>
          <w:pgSz w:w="11900" w:h="16840"/>
          <w:pgMar w:top="1440" w:right="1800" w:bottom="1440" w:left="1800" w:header="851" w:footer="992" w:gutter="0"/>
          <w:pgNumType w:fmt="numberInDash"/>
          <w:cols w:space="425" w:num="1"/>
          <w:docGrid w:type="lines" w:linePitch="312" w:charSpace="0"/>
        </w:sectPr>
      </w:pPr>
    </w:p>
    <w:p w14:paraId="38A387D1">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第六条</w:t>
      </w:r>
      <w:r>
        <w:rPr>
          <w:rFonts w:ascii="仿宋_GB2312" w:hAnsi="宋体" w:eastAsia="仿宋_GB2312" w:cs="微软雅黑"/>
          <w:sz w:val="32"/>
          <w:szCs w:val="32"/>
        </w:rPr>
        <w:tab/>
      </w:r>
      <w:r>
        <w:rPr>
          <w:rFonts w:ascii="仿宋_GB2312" w:hAnsi="宋体" w:eastAsia="仿宋_GB2312" w:cs="微软雅黑"/>
          <w:sz w:val="32"/>
          <w:szCs w:val="32"/>
        </w:rPr>
        <w:t xml:space="preserve"> </w:t>
      </w:r>
      <w:r>
        <w:rPr>
          <w:rFonts w:hint="eastAsia" w:ascii="仿宋_GB2312" w:hAnsi="宋体" w:eastAsia="仿宋_GB2312" w:cs="微软雅黑"/>
          <w:sz w:val="32"/>
          <w:szCs w:val="32"/>
        </w:rPr>
        <w:t>评定办法：</w:t>
      </w:r>
    </w:p>
    <w:p w14:paraId="38A387D2">
      <w:pPr>
        <w:keepNext w:val="0"/>
        <w:keepLines w:val="0"/>
        <w:pageBreakBefore w:val="0"/>
        <w:kinsoku/>
        <w:wordWrap/>
        <w:overflowPunct/>
        <w:topLinePunct w:val="0"/>
        <w:autoSpaceDE/>
        <w:autoSpaceDN/>
        <w:bidi w:val="0"/>
        <w:adjustRightInd w:val="0"/>
        <w:snapToGrid w:val="0"/>
        <w:spacing w:line="570" w:lineRule="exact"/>
        <w:ind w:left="360"/>
        <w:rPr>
          <w:rFonts w:ascii="仿宋_GB2312" w:hAnsi="宋体" w:eastAsia="仿宋_GB2312" w:cs="微软雅黑"/>
          <w:sz w:val="32"/>
          <w:szCs w:val="32"/>
        </w:rPr>
      </w:pPr>
      <w:r>
        <w:rPr>
          <w:rFonts w:hint="eastAsia" w:ascii="仿宋_GB2312" w:hAnsi="宋体" w:eastAsia="仿宋_GB2312"/>
          <w:color w:val="000000"/>
          <w:sz w:val="32"/>
          <w:szCs w:val="32"/>
          <w:shd w:val="clear" w:color="auto" w:fill="FFFFFF"/>
        </w:rPr>
        <w:t>（一）</w:t>
      </w:r>
      <w:r>
        <w:rPr>
          <w:rFonts w:hint="eastAsia" w:ascii="仿宋_GB2312" w:hAnsi="宋体" w:eastAsia="仿宋_GB2312" w:cs="微软雅黑"/>
          <w:sz w:val="32"/>
          <w:szCs w:val="32"/>
        </w:rPr>
        <w:t>2025级硕士研究生新生参照以下评选办法：</w:t>
      </w:r>
    </w:p>
    <w:p w14:paraId="38A387D3">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bCs/>
          <w:kern w:val="0"/>
          <w:sz w:val="32"/>
          <w:szCs w:val="32"/>
        </w:rPr>
      </w:pPr>
      <w:r>
        <w:rPr>
          <w:rFonts w:hint="eastAsia" w:ascii="仿宋_GB2312" w:hAnsi="宋体" w:eastAsia="仿宋_GB2312"/>
          <w:bCs/>
          <w:kern w:val="0"/>
          <w:sz w:val="32"/>
          <w:szCs w:val="32"/>
        </w:rPr>
        <w:t>1</w:t>
      </w:r>
      <w:r>
        <w:rPr>
          <w:rFonts w:ascii="仿宋_GB2312" w:hAnsi="宋体" w:eastAsia="仿宋_GB2312"/>
          <w:bCs/>
          <w:kern w:val="0"/>
          <w:sz w:val="32"/>
          <w:szCs w:val="32"/>
        </w:rPr>
        <w:t>.</w:t>
      </w:r>
      <w:r>
        <w:rPr>
          <w:rFonts w:hint="eastAsia" w:ascii="仿宋_GB2312" w:hAnsi="宋体" w:eastAsia="仿宋_GB2312"/>
          <w:bCs/>
          <w:kern w:val="0"/>
          <w:sz w:val="32"/>
          <w:szCs w:val="32"/>
        </w:rPr>
        <w:t>硕士研究生新生学业奖学金的评定无需新生本人提出申请，由学院依据评选条件与年度评选名额直接评定；</w:t>
      </w:r>
    </w:p>
    <w:p w14:paraId="38A387D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bCs/>
          <w:kern w:val="0"/>
          <w:sz w:val="32"/>
          <w:szCs w:val="32"/>
        </w:rPr>
      </w:pPr>
      <w:r>
        <w:rPr>
          <w:rFonts w:hint="eastAsia" w:ascii="仿宋_GB2312" w:hAnsi="宋体" w:eastAsia="仿宋_GB2312"/>
          <w:bCs/>
          <w:kern w:val="0"/>
          <w:sz w:val="32"/>
          <w:szCs w:val="32"/>
        </w:rPr>
        <w:t>2</w:t>
      </w:r>
      <w:r>
        <w:rPr>
          <w:rFonts w:ascii="仿宋_GB2312" w:hAnsi="宋体" w:eastAsia="仿宋_GB2312"/>
          <w:bCs/>
          <w:kern w:val="0"/>
          <w:sz w:val="32"/>
          <w:szCs w:val="32"/>
        </w:rPr>
        <w:t>.</w:t>
      </w:r>
      <w:r>
        <w:rPr>
          <w:rFonts w:hint="eastAsia" w:ascii="仿宋_GB2312" w:hAnsi="宋体" w:eastAsia="仿宋_GB2312"/>
          <w:bCs/>
          <w:kern w:val="0"/>
          <w:sz w:val="32"/>
          <w:szCs w:val="32"/>
        </w:rPr>
        <w:t>推荐免试研究生原则上自动获得一等奖学金；</w:t>
      </w:r>
    </w:p>
    <w:p w14:paraId="38A387D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bCs/>
          <w:kern w:val="0"/>
          <w:sz w:val="32"/>
          <w:szCs w:val="32"/>
        </w:rPr>
      </w:pPr>
      <w:r>
        <w:rPr>
          <w:rFonts w:hint="eastAsia" w:ascii="仿宋_GB2312" w:hAnsi="宋体" w:eastAsia="仿宋_GB2312"/>
          <w:bCs/>
          <w:kern w:val="0"/>
          <w:sz w:val="32"/>
          <w:szCs w:val="32"/>
        </w:rPr>
        <w:t>3</w:t>
      </w:r>
      <w:r>
        <w:rPr>
          <w:rFonts w:ascii="仿宋_GB2312" w:hAnsi="宋体" w:eastAsia="仿宋_GB2312"/>
          <w:bCs/>
          <w:kern w:val="0"/>
          <w:sz w:val="32"/>
          <w:szCs w:val="32"/>
        </w:rPr>
        <w:t>.</w:t>
      </w:r>
      <w:r>
        <w:rPr>
          <w:rFonts w:hint="eastAsia" w:ascii="仿宋_GB2312" w:hAnsi="宋体" w:eastAsia="仿宋_GB2312"/>
          <w:bCs/>
          <w:kern w:val="0"/>
          <w:sz w:val="32"/>
          <w:szCs w:val="32"/>
        </w:rPr>
        <w:t>学院各学位点以硕士新生入学考试的总成绩（含初试与复试成绩，按总成绩由高到低排序）作为研究生新生学业奖学金评定的主要依据；</w:t>
      </w:r>
    </w:p>
    <w:p w14:paraId="38A387D6">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bCs/>
          <w:kern w:val="0"/>
          <w:sz w:val="32"/>
          <w:szCs w:val="32"/>
        </w:rPr>
      </w:pPr>
      <w:r>
        <w:rPr>
          <w:rFonts w:hint="eastAsia" w:ascii="仿宋_GB2312" w:hAnsi="宋体" w:eastAsia="仿宋_GB2312"/>
          <w:bCs/>
          <w:kern w:val="0"/>
          <w:sz w:val="32"/>
          <w:szCs w:val="32"/>
        </w:rPr>
        <w:t>4</w:t>
      </w:r>
      <w:r>
        <w:rPr>
          <w:rFonts w:ascii="仿宋_GB2312" w:hAnsi="宋体" w:eastAsia="仿宋_GB2312"/>
          <w:bCs/>
          <w:kern w:val="0"/>
          <w:sz w:val="32"/>
          <w:szCs w:val="32"/>
        </w:rPr>
        <w:t>.</w:t>
      </w:r>
      <w:r>
        <w:rPr>
          <w:rFonts w:hint="eastAsia" w:ascii="仿宋_GB2312" w:hAnsi="宋体" w:eastAsia="仿宋_GB2312"/>
          <w:bCs/>
          <w:kern w:val="0"/>
          <w:sz w:val="32"/>
          <w:szCs w:val="32"/>
        </w:rPr>
        <w:t>复试前第一志愿填报上海海事大学并被录取的研究生新生优先考虑(在总成绩的基础上乘以1.2的系数)；</w:t>
      </w:r>
    </w:p>
    <w:p w14:paraId="38A387D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bCs/>
          <w:kern w:val="0"/>
          <w:sz w:val="32"/>
          <w:szCs w:val="32"/>
        </w:rPr>
      </w:pPr>
      <w:r>
        <w:rPr>
          <w:rFonts w:hint="eastAsia" w:ascii="仿宋_GB2312" w:hAnsi="宋体" w:eastAsia="仿宋_GB2312"/>
          <w:bCs/>
          <w:kern w:val="0"/>
          <w:sz w:val="32"/>
          <w:szCs w:val="32"/>
        </w:rPr>
        <w:t>5</w:t>
      </w:r>
      <w:r>
        <w:rPr>
          <w:rFonts w:ascii="仿宋_GB2312" w:hAnsi="宋体" w:eastAsia="仿宋_GB2312"/>
          <w:bCs/>
          <w:kern w:val="0"/>
          <w:sz w:val="32"/>
          <w:szCs w:val="32"/>
        </w:rPr>
        <w:t>.</w:t>
      </w:r>
      <w:r>
        <w:rPr>
          <w:rFonts w:hint="eastAsia" w:ascii="仿宋_GB2312" w:hAnsi="宋体" w:eastAsia="仿宋_GB2312"/>
          <w:bCs/>
          <w:kern w:val="0"/>
          <w:sz w:val="32"/>
          <w:szCs w:val="32"/>
        </w:rPr>
        <w:t>本科院校为原“985”高校（非独立学院），在总成绩的基础上乘以1.2的系数，为原“211”高校（非独立学院），在总成绩的基础上乘以1.1的系数；</w:t>
      </w:r>
    </w:p>
    <w:p w14:paraId="38A387D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bCs/>
          <w:kern w:val="0"/>
          <w:sz w:val="32"/>
          <w:szCs w:val="32"/>
        </w:rPr>
      </w:pPr>
      <w:r>
        <w:rPr>
          <w:rFonts w:hint="eastAsia" w:ascii="仿宋_GB2312" w:hAnsi="宋体" w:eastAsia="仿宋_GB2312"/>
          <w:bCs/>
          <w:kern w:val="0"/>
          <w:sz w:val="32"/>
          <w:szCs w:val="32"/>
        </w:rPr>
        <w:t>6</w:t>
      </w:r>
      <w:r>
        <w:rPr>
          <w:rFonts w:ascii="仿宋_GB2312" w:hAnsi="宋体" w:eastAsia="仿宋_GB2312"/>
          <w:bCs/>
          <w:kern w:val="0"/>
          <w:sz w:val="32"/>
          <w:szCs w:val="32"/>
        </w:rPr>
        <w:t>.</w:t>
      </w:r>
      <w:r>
        <w:rPr>
          <w:rFonts w:hint="eastAsia" w:ascii="仿宋_GB2312" w:hAnsi="宋体" w:eastAsia="仿宋_GB2312"/>
          <w:bCs/>
          <w:kern w:val="0"/>
          <w:sz w:val="32"/>
          <w:szCs w:val="32"/>
        </w:rPr>
        <w:t>如在本科期间有重大研究成果、科研能力突出的学生可优先或重点考虑，具体计分方法参考学校最新版本的研究生学位授予成果；</w:t>
      </w:r>
    </w:p>
    <w:p w14:paraId="38A387D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bCs/>
          <w:kern w:val="0"/>
          <w:sz w:val="32"/>
          <w:szCs w:val="32"/>
        </w:rPr>
      </w:pPr>
      <w:r>
        <w:rPr>
          <w:rFonts w:hint="eastAsia" w:ascii="仿宋_GB2312" w:hAnsi="宋体" w:eastAsia="仿宋_GB2312"/>
          <w:bCs/>
          <w:kern w:val="0"/>
          <w:sz w:val="32"/>
          <w:szCs w:val="32"/>
        </w:rPr>
        <w:t>7</w:t>
      </w:r>
      <w:r>
        <w:rPr>
          <w:rFonts w:ascii="仿宋_GB2312" w:hAnsi="宋体" w:eastAsia="仿宋_GB2312"/>
          <w:bCs/>
          <w:kern w:val="0"/>
          <w:sz w:val="32"/>
          <w:szCs w:val="32"/>
        </w:rPr>
        <w:t>.</w:t>
      </w:r>
      <w:r>
        <w:rPr>
          <w:rFonts w:hint="eastAsia" w:ascii="仿宋_GB2312" w:hAnsi="宋体" w:eastAsia="仿宋_GB2312"/>
          <w:bCs/>
          <w:kern w:val="0"/>
          <w:sz w:val="32"/>
          <w:szCs w:val="32"/>
        </w:rPr>
        <w:t>如果最终的总成绩相同者，评定按初试成绩择优评定。</w:t>
      </w:r>
    </w:p>
    <w:p w14:paraId="38A387D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kern w:val="0"/>
          <w:sz w:val="24"/>
        </w:rPr>
      </w:pPr>
      <w:r>
        <w:rPr>
          <w:rFonts w:hint="eastAsia" w:ascii="仿宋_GB2312" w:hAnsi="宋体" w:eastAsia="仿宋_GB2312" w:cs="宋体"/>
          <w:color w:val="000000"/>
          <w:kern w:val="0"/>
          <w:sz w:val="32"/>
          <w:szCs w:val="32"/>
          <w:shd w:val="clear" w:color="auto" w:fill="FFFFFF"/>
        </w:rPr>
        <w:t>（二）</w:t>
      </w:r>
      <w:r>
        <w:rPr>
          <w:rFonts w:hint="eastAsia" w:ascii="仿宋_GB2312" w:hAnsi="宋体" w:eastAsia="仿宋_GB2312" w:cs="微软雅黑"/>
          <w:kern w:val="0"/>
          <w:sz w:val="32"/>
          <w:szCs w:val="32"/>
        </w:rPr>
        <w:t>2023级、2024级硕士研究生参照以下评选标准进行打分：</w:t>
      </w:r>
    </w:p>
    <w:p w14:paraId="38A387D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kern w:val="0"/>
          <w:sz w:val="32"/>
          <w:szCs w:val="32"/>
        </w:rPr>
      </w:pPr>
      <w:r>
        <w:rPr>
          <w:rFonts w:hint="eastAsia" w:ascii="仿宋_GB2312" w:hAnsi="宋体" w:eastAsia="仿宋_GB2312" w:cs="微软雅黑"/>
          <w:kern w:val="0"/>
          <w:sz w:val="32"/>
          <w:szCs w:val="32"/>
        </w:rPr>
        <w:t>1</w:t>
      </w:r>
      <w:r>
        <w:rPr>
          <w:rFonts w:ascii="仿宋_GB2312" w:hAnsi="宋体" w:eastAsia="仿宋_GB2312" w:cs="微软雅黑"/>
          <w:kern w:val="0"/>
          <w:sz w:val="32"/>
          <w:szCs w:val="32"/>
        </w:rPr>
        <w:t>.</w:t>
      </w:r>
      <w:r>
        <w:rPr>
          <w:rFonts w:hint="eastAsia" w:ascii="仿宋_GB2312" w:hAnsi="宋体" w:eastAsia="仿宋_GB2312" w:cs="微软雅黑"/>
          <w:kern w:val="0"/>
          <w:sz w:val="32"/>
          <w:szCs w:val="32"/>
        </w:rPr>
        <w:t>思想道德（5分）</w:t>
      </w:r>
    </w:p>
    <w:p w14:paraId="38A387DC">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评分标准详见商船〔2022〕17号《商船学院研究生德育与时间测评评分办法》。</w:t>
      </w:r>
    </w:p>
    <w:p w14:paraId="38A387D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kern w:val="0"/>
          <w:sz w:val="32"/>
          <w:szCs w:val="32"/>
        </w:rPr>
      </w:pPr>
      <w:r>
        <w:rPr>
          <w:rFonts w:hint="eastAsia" w:ascii="仿宋_GB2312" w:hAnsi="宋体" w:eastAsia="仿宋_GB2312" w:cs="微软雅黑"/>
          <w:kern w:val="0"/>
          <w:sz w:val="32"/>
          <w:szCs w:val="32"/>
        </w:rPr>
        <w:t>2</w:t>
      </w:r>
      <w:r>
        <w:rPr>
          <w:rFonts w:ascii="仿宋_GB2312" w:hAnsi="宋体" w:eastAsia="仿宋_GB2312" w:cs="微软雅黑"/>
          <w:kern w:val="0"/>
          <w:sz w:val="32"/>
          <w:szCs w:val="32"/>
        </w:rPr>
        <w:t>.</w:t>
      </w:r>
      <w:r>
        <w:rPr>
          <w:rFonts w:hint="eastAsia" w:ascii="仿宋_GB2312" w:hAnsi="宋体" w:eastAsia="仿宋_GB2312" w:cs="微软雅黑"/>
          <w:kern w:val="0"/>
          <w:sz w:val="32"/>
          <w:szCs w:val="32"/>
        </w:rPr>
        <w:t>学习成绩</w:t>
      </w:r>
    </w:p>
    <w:p w14:paraId="38A387D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kern w:val="0"/>
          <w:sz w:val="32"/>
          <w:szCs w:val="32"/>
        </w:rPr>
      </w:pPr>
      <w:r>
        <w:rPr>
          <w:rFonts w:hint="eastAsia" w:ascii="仿宋_GB2312" w:hAnsi="宋体" w:eastAsia="仿宋_GB2312" w:cs="微软雅黑"/>
          <w:sz w:val="32"/>
          <w:szCs w:val="32"/>
        </w:rPr>
        <w:t>参考上一学年学习成绩等级。</w:t>
      </w:r>
    </w:p>
    <w:p w14:paraId="38A387DF">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rPr>
          <w:rFonts w:ascii="仿宋_GB2312" w:hAnsi="宋体" w:eastAsia="仿宋_GB2312" w:cs="微软雅黑"/>
          <w:kern w:val="0"/>
          <w:sz w:val="32"/>
          <w:szCs w:val="32"/>
        </w:rPr>
      </w:pPr>
      <w:r>
        <w:rPr>
          <w:rFonts w:hint="eastAsia" w:ascii="仿宋_GB2312" w:hAnsi="宋体" w:eastAsia="仿宋_GB2312" w:cs="微软雅黑"/>
          <w:kern w:val="0"/>
          <w:sz w:val="32"/>
          <w:szCs w:val="32"/>
        </w:rPr>
        <w:t>3</w:t>
      </w:r>
      <w:r>
        <w:rPr>
          <w:rFonts w:ascii="仿宋_GB2312" w:hAnsi="宋体" w:eastAsia="仿宋_GB2312" w:cs="微软雅黑"/>
          <w:kern w:val="0"/>
          <w:sz w:val="32"/>
          <w:szCs w:val="32"/>
        </w:rPr>
        <w:t>.</w:t>
      </w:r>
      <w:r>
        <w:rPr>
          <w:rFonts w:hint="eastAsia" w:ascii="仿宋_GB2312" w:hAnsi="宋体" w:eastAsia="仿宋_GB2312" w:cs="微软雅黑"/>
          <w:kern w:val="0"/>
          <w:sz w:val="32"/>
          <w:szCs w:val="32"/>
        </w:rPr>
        <w:t>科研成果</w:t>
      </w:r>
    </w:p>
    <w:p w14:paraId="38A387E0">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研究生申请者的</w:t>
      </w:r>
      <w:r>
        <w:rPr>
          <w:rFonts w:ascii="仿宋_GB2312" w:hAnsi="宋体" w:eastAsia="仿宋_GB2312" w:cs="微软雅黑"/>
          <w:sz w:val="32"/>
          <w:szCs w:val="32"/>
        </w:rPr>
        <w:t>科研成果部分的自评和测评依据研究生入学年级所对应的当年度生效的《上海海事大学研究生学位授予成果要求》进行评定。</w:t>
      </w:r>
    </w:p>
    <w:p w14:paraId="38A387E1">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第七条</w:t>
      </w:r>
      <w:r>
        <w:rPr>
          <w:rFonts w:ascii="仿宋_GB2312" w:hAnsi="宋体" w:eastAsia="仿宋_GB2312" w:cs="微软雅黑"/>
          <w:sz w:val="32"/>
          <w:szCs w:val="32"/>
        </w:rPr>
        <w:tab/>
      </w:r>
      <w:r>
        <w:rPr>
          <w:rFonts w:ascii="仿宋_GB2312" w:hAnsi="宋体" w:eastAsia="仿宋_GB2312" w:cs="微软雅黑"/>
          <w:sz w:val="32"/>
          <w:szCs w:val="32"/>
        </w:rPr>
        <w:t xml:space="preserve"> </w:t>
      </w:r>
      <w:r>
        <w:rPr>
          <w:rFonts w:hint="eastAsia" w:ascii="仿宋_GB2312" w:hAnsi="宋体" w:eastAsia="仿宋_GB2312" w:cs="微软雅黑"/>
          <w:sz w:val="32"/>
          <w:szCs w:val="32"/>
        </w:rPr>
        <w:t>研究生学业奖学金评定时间与评定程序：</w:t>
      </w:r>
    </w:p>
    <w:p w14:paraId="38A387E2">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ascii="仿宋_GB2312" w:hAnsi="宋体" w:eastAsia="仿宋_GB2312" w:cs="微软雅黑"/>
          <w:sz w:val="32"/>
          <w:szCs w:val="32"/>
        </w:rPr>
        <w:t>1.</w:t>
      </w:r>
      <w:r>
        <w:rPr>
          <w:rFonts w:hint="eastAsia" w:ascii="仿宋_GB2312" w:hAnsi="宋体" w:eastAsia="仿宋_GB2312" w:cs="微软雅黑"/>
          <w:sz w:val="32"/>
          <w:szCs w:val="32"/>
        </w:rPr>
        <w:t>研究生学业奖学金的评定工作坚持“公平、公正、公开”原则。</w:t>
      </w:r>
    </w:p>
    <w:p w14:paraId="38A387E3">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2</w:t>
      </w:r>
      <w:r>
        <w:rPr>
          <w:rFonts w:ascii="仿宋_GB2312" w:hAnsi="宋体" w:eastAsia="仿宋_GB2312" w:cs="微软雅黑"/>
          <w:sz w:val="32"/>
          <w:szCs w:val="32"/>
        </w:rPr>
        <w:t>.</w:t>
      </w:r>
      <w:r>
        <w:rPr>
          <w:rFonts w:hint="eastAsia" w:ascii="仿宋_GB2312" w:hAnsi="宋体" w:eastAsia="仿宋_GB2312" w:cs="微软雅黑"/>
          <w:sz w:val="32"/>
          <w:szCs w:val="32"/>
        </w:rPr>
        <w:t>学院成立研究生评奖评优工作领导小组，具体负责本学院研究生学业奖学金评定工作。</w:t>
      </w:r>
    </w:p>
    <w:p w14:paraId="38A387E4">
      <w:pPr>
        <w:keepNext w:val="0"/>
        <w:keepLines w:val="0"/>
        <w:pageBreakBefore w:val="0"/>
        <w:kinsoku/>
        <w:wordWrap/>
        <w:overflowPunct/>
        <w:topLinePunct w:val="0"/>
        <w:autoSpaceDE/>
        <w:autoSpaceDN/>
        <w:bidi w:val="0"/>
        <w:adjustRightInd w:val="0"/>
        <w:snapToGrid w:val="0"/>
        <w:spacing w:line="570" w:lineRule="exact"/>
        <w:ind w:firstLine="640" w:firstLineChars="200"/>
        <w:rPr>
          <w:rFonts w:ascii="仿宋_GB2312" w:hAnsi="宋体" w:eastAsia="仿宋_GB2312" w:cs="微软雅黑"/>
          <w:sz w:val="32"/>
          <w:szCs w:val="32"/>
        </w:rPr>
      </w:pPr>
      <w:r>
        <w:rPr>
          <w:rFonts w:hint="eastAsia" w:ascii="仿宋_GB2312" w:hAnsi="宋体" w:eastAsia="仿宋_GB2312" w:cs="微软雅黑"/>
          <w:sz w:val="32"/>
          <w:szCs w:val="32"/>
        </w:rPr>
        <w:t>3</w:t>
      </w:r>
      <w:r>
        <w:rPr>
          <w:rFonts w:ascii="仿宋_GB2312" w:hAnsi="宋体" w:eastAsia="仿宋_GB2312" w:cs="微软雅黑"/>
          <w:sz w:val="32"/>
          <w:szCs w:val="32"/>
        </w:rPr>
        <w:t>.</w:t>
      </w:r>
      <w:r>
        <w:rPr>
          <w:rFonts w:hint="eastAsia" w:ascii="仿宋_GB2312" w:hAnsi="宋体" w:eastAsia="仿宋_GB2312" w:cs="微软雅黑"/>
          <w:sz w:val="32"/>
          <w:szCs w:val="32"/>
        </w:rPr>
        <w:t>评审时间安排如下：</w:t>
      </w:r>
    </w:p>
    <w:p w14:paraId="38A387E5">
      <w:pPr>
        <w:keepNext w:val="0"/>
        <w:keepLines w:val="0"/>
        <w:pageBreakBefore w:val="0"/>
        <w:kinsoku/>
        <w:wordWrap/>
        <w:overflowPunct/>
        <w:topLinePunct w:val="0"/>
        <w:autoSpaceDE/>
        <w:autoSpaceDN/>
        <w:bidi w:val="0"/>
        <w:adjustRightInd w:val="0"/>
        <w:snapToGrid w:val="0"/>
        <w:spacing w:line="570" w:lineRule="exact"/>
        <w:ind w:firstLine="652" w:firstLineChars="200"/>
        <w:rPr>
          <w:rFonts w:ascii="仿宋_GB2312" w:hAnsi="宋体" w:eastAsia="仿宋_GB2312" w:cs="宋体"/>
          <w:spacing w:val="3"/>
          <w:sz w:val="32"/>
          <w:szCs w:val="32"/>
        </w:rPr>
      </w:pPr>
      <w:r>
        <w:rPr>
          <w:rFonts w:hint="eastAsia" w:ascii="仿宋_GB2312" w:hAnsi="宋体" w:eastAsia="仿宋_GB2312" w:cs="宋体"/>
          <w:spacing w:val="3"/>
          <w:sz w:val="32"/>
          <w:szCs w:val="32"/>
        </w:rPr>
        <w:t>2025年9月17日前，确定学院研究生评奖评优工作领导小组成员名单，制定实施细则、工作程序等，完成公开公示实施细则；</w:t>
      </w:r>
    </w:p>
    <w:p w14:paraId="38A387E6">
      <w:pPr>
        <w:keepNext w:val="0"/>
        <w:keepLines w:val="0"/>
        <w:pageBreakBefore w:val="0"/>
        <w:kinsoku/>
        <w:wordWrap/>
        <w:overflowPunct/>
        <w:topLinePunct w:val="0"/>
        <w:autoSpaceDE/>
        <w:autoSpaceDN/>
        <w:bidi w:val="0"/>
        <w:spacing w:line="570" w:lineRule="exact"/>
        <w:ind w:firstLine="652" w:firstLineChars="200"/>
        <w:rPr>
          <w:rFonts w:ascii="仿宋_GB2312" w:hAnsi="宋体" w:eastAsia="仿宋_GB2312" w:cs="宋体"/>
          <w:spacing w:val="3"/>
          <w:sz w:val="32"/>
          <w:szCs w:val="32"/>
        </w:rPr>
      </w:pPr>
      <w:r>
        <w:rPr>
          <w:rFonts w:hint="eastAsia" w:ascii="仿宋_GB2312" w:hAnsi="宋体" w:eastAsia="仿宋_GB2312" w:cs="宋体"/>
          <w:spacing w:val="3"/>
          <w:sz w:val="32"/>
          <w:szCs w:val="32"/>
        </w:rPr>
        <w:t>2025年9月20日前，研究生完成提交相关申请材料；</w:t>
      </w:r>
    </w:p>
    <w:p w14:paraId="38A387E7">
      <w:pPr>
        <w:keepNext w:val="0"/>
        <w:keepLines w:val="0"/>
        <w:pageBreakBefore w:val="0"/>
        <w:kinsoku/>
        <w:wordWrap/>
        <w:overflowPunct/>
        <w:topLinePunct w:val="0"/>
        <w:autoSpaceDE/>
        <w:autoSpaceDN/>
        <w:bidi w:val="0"/>
        <w:spacing w:line="570" w:lineRule="exact"/>
        <w:ind w:firstLine="652" w:firstLineChars="200"/>
        <w:rPr>
          <w:rFonts w:ascii="仿宋_GB2312" w:hAnsi="宋体" w:eastAsia="仿宋_GB2312" w:cs="宋体"/>
          <w:spacing w:val="3"/>
          <w:sz w:val="32"/>
          <w:szCs w:val="32"/>
        </w:rPr>
      </w:pPr>
      <w:r>
        <w:rPr>
          <w:rFonts w:hint="eastAsia" w:ascii="仿宋_GB2312" w:hAnsi="宋体" w:eastAsia="仿宋_GB2312" w:cs="宋体"/>
          <w:spacing w:val="3"/>
          <w:sz w:val="32"/>
          <w:szCs w:val="32"/>
        </w:rPr>
        <w:t>2025年9月20-25日，完成研究生的申请材料审核工作；</w:t>
      </w:r>
    </w:p>
    <w:p w14:paraId="38A387E8">
      <w:pPr>
        <w:keepNext w:val="0"/>
        <w:keepLines w:val="0"/>
        <w:pageBreakBefore w:val="0"/>
        <w:kinsoku/>
        <w:wordWrap/>
        <w:overflowPunct/>
        <w:topLinePunct w:val="0"/>
        <w:autoSpaceDE/>
        <w:autoSpaceDN/>
        <w:bidi w:val="0"/>
        <w:spacing w:line="570" w:lineRule="exact"/>
        <w:ind w:firstLine="652" w:firstLineChars="200"/>
        <w:rPr>
          <w:rFonts w:ascii="仿宋_GB2312" w:hAnsi="宋体" w:eastAsia="仿宋_GB2312" w:cs="宋体"/>
          <w:spacing w:val="3"/>
          <w:sz w:val="32"/>
          <w:szCs w:val="32"/>
        </w:rPr>
      </w:pPr>
      <w:r>
        <w:rPr>
          <w:rFonts w:hint="eastAsia" w:ascii="仿宋_GB2312" w:hAnsi="宋体" w:eastAsia="仿宋_GB2312" w:cs="宋体"/>
          <w:spacing w:val="3"/>
          <w:sz w:val="32"/>
          <w:szCs w:val="32"/>
        </w:rPr>
        <w:t>2025年9月26-28日，根据实施细则进行评选，确定拟推荐名单；</w:t>
      </w:r>
    </w:p>
    <w:p w14:paraId="38A387E9">
      <w:pPr>
        <w:keepNext w:val="0"/>
        <w:keepLines w:val="0"/>
        <w:pageBreakBefore w:val="0"/>
        <w:kinsoku/>
        <w:wordWrap/>
        <w:overflowPunct/>
        <w:topLinePunct w:val="0"/>
        <w:autoSpaceDE/>
        <w:autoSpaceDN/>
        <w:bidi w:val="0"/>
        <w:spacing w:line="570" w:lineRule="exact"/>
        <w:ind w:right="28" w:firstLine="652" w:firstLineChars="200"/>
        <w:rPr>
          <w:rFonts w:ascii="仿宋_GB2312" w:hAnsi="宋体" w:eastAsia="仿宋_GB2312" w:cs="宋体"/>
          <w:spacing w:val="3"/>
          <w:sz w:val="32"/>
          <w:szCs w:val="32"/>
        </w:rPr>
      </w:pPr>
      <w:r>
        <w:rPr>
          <w:rFonts w:hint="eastAsia" w:ascii="仿宋_GB2312" w:hAnsi="宋体" w:eastAsia="仿宋_GB2312" w:cs="宋体"/>
          <w:spacing w:val="3"/>
          <w:sz w:val="32"/>
          <w:szCs w:val="32"/>
        </w:rPr>
        <w:t>2025年9月29日-10月12日，完成拟推荐名单的公示及相关工作。</w:t>
      </w:r>
    </w:p>
    <w:p w14:paraId="38A387EA">
      <w:pPr>
        <w:keepNext w:val="0"/>
        <w:keepLines w:val="0"/>
        <w:pageBreakBefore w:val="0"/>
        <w:kinsoku/>
        <w:wordWrap/>
        <w:overflowPunct/>
        <w:topLinePunct w:val="0"/>
        <w:autoSpaceDE/>
        <w:autoSpaceDN/>
        <w:bidi w:val="0"/>
        <w:adjustRightInd w:val="0"/>
        <w:snapToGrid w:val="0"/>
        <w:spacing w:line="570" w:lineRule="exact"/>
        <w:ind w:firstLine="643" w:firstLineChars="200"/>
        <w:rPr>
          <w:rFonts w:ascii="仿宋_GB2312" w:hAnsi="宋体" w:eastAsia="仿宋_GB2312" w:cs="微软雅黑"/>
          <w:sz w:val="32"/>
          <w:szCs w:val="32"/>
        </w:rPr>
      </w:pPr>
      <w:r>
        <w:rPr>
          <w:rFonts w:hint="eastAsia" w:ascii="仿宋_GB2312" w:hAnsi="宋体" w:eastAsia="仿宋_GB2312" w:cs="微软雅黑"/>
          <w:b/>
          <w:bCs/>
          <w:sz w:val="32"/>
          <w:szCs w:val="32"/>
        </w:rPr>
        <w:t>第八条</w:t>
      </w:r>
      <w:r>
        <w:rPr>
          <w:rFonts w:ascii="仿宋_GB2312" w:hAnsi="宋体" w:eastAsia="仿宋_GB2312" w:cs="微软雅黑"/>
          <w:sz w:val="32"/>
          <w:szCs w:val="32"/>
        </w:rPr>
        <w:tab/>
      </w:r>
      <w:r>
        <w:rPr>
          <w:rFonts w:ascii="仿宋_GB2312" w:hAnsi="宋体" w:eastAsia="仿宋_GB2312" w:cs="微软雅黑"/>
          <w:sz w:val="32"/>
          <w:szCs w:val="32"/>
        </w:rPr>
        <w:t xml:space="preserve"> </w:t>
      </w:r>
      <w:r>
        <w:rPr>
          <w:rFonts w:hint="eastAsia" w:ascii="仿宋_GB2312" w:hAnsi="宋体" w:eastAsia="仿宋_GB2312" w:cs="宋体"/>
          <w:spacing w:val="3"/>
          <w:sz w:val="32"/>
          <w:szCs w:val="32"/>
        </w:rPr>
        <w:t>申诉。</w:t>
      </w:r>
      <w:r>
        <w:rPr>
          <w:rFonts w:hint="eastAsia" w:ascii="仿宋_GB2312" w:hAnsi="宋体" w:eastAsia="仿宋_GB2312" w:cs="微软雅黑"/>
          <w:sz w:val="32"/>
          <w:szCs w:val="32"/>
        </w:rPr>
        <w:t>对研究生学业奖学金评审结果有异议的学生，可在本院评审结果公布之日起</w:t>
      </w:r>
      <w:r>
        <w:rPr>
          <w:rFonts w:ascii="仿宋_GB2312" w:hAnsi="宋体" w:eastAsia="仿宋_GB2312" w:cs="微软雅黑"/>
          <w:sz w:val="32"/>
          <w:szCs w:val="32"/>
        </w:rPr>
        <w:t>5</w:t>
      </w:r>
      <w:r>
        <w:rPr>
          <w:rFonts w:hint="eastAsia" w:ascii="仿宋_GB2312" w:hAnsi="宋体" w:eastAsia="仿宋_GB2312" w:cs="微软雅黑"/>
          <w:sz w:val="32"/>
          <w:szCs w:val="32"/>
        </w:rPr>
        <w:t>个工作日内向学院研究生评奖评优工作领导小组提出书面申诉，工作领导小组应在接受申诉后</w:t>
      </w:r>
      <w:r>
        <w:rPr>
          <w:rFonts w:ascii="仿宋_GB2312" w:hAnsi="宋体" w:eastAsia="仿宋_GB2312" w:cs="微软雅黑"/>
          <w:sz w:val="32"/>
          <w:szCs w:val="32"/>
        </w:rPr>
        <w:t>5</w:t>
      </w:r>
      <w:r>
        <w:rPr>
          <w:rFonts w:hint="eastAsia" w:ascii="仿宋_GB2312" w:hAnsi="宋体" w:eastAsia="仿宋_GB2312" w:cs="微软雅黑"/>
          <w:sz w:val="32"/>
          <w:szCs w:val="32"/>
        </w:rPr>
        <w:t>个工作日内做出答复。如对本院研究生学业奖学金评审工作小组的评审答复仍有异议，可在工作小组答复后</w:t>
      </w:r>
      <w:r>
        <w:rPr>
          <w:rFonts w:ascii="仿宋_GB2312" w:hAnsi="宋体" w:eastAsia="仿宋_GB2312" w:cs="微软雅黑"/>
          <w:sz w:val="32"/>
          <w:szCs w:val="32"/>
        </w:rPr>
        <w:t>5</w:t>
      </w:r>
      <w:r>
        <w:rPr>
          <w:rFonts w:hint="eastAsia" w:ascii="仿宋_GB2312" w:hAnsi="宋体" w:eastAsia="仿宋_GB2312" w:cs="微软雅黑"/>
          <w:sz w:val="32"/>
          <w:szCs w:val="32"/>
        </w:rPr>
        <w:t>个工作日内向学校研究生院提起申诉。</w:t>
      </w:r>
    </w:p>
    <w:p w14:paraId="38A387EB">
      <w:pPr>
        <w:keepNext w:val="0"/>
        <w:keepLines w:val="0"/>
        <w:pageBreakBefore w:val="0"/>
        <w:widowControl/>
        <w:kinsoku/>
        <w:wordWrap/>
        <w:overflowPunct/>
        <w:topLinePunct w:val="0"/>
        <w:autoSpaceDE/>
        <w:autoSpaceDN/>
        <w:bidi w:val="0"/>
        <w:spacing w:line="570" w:lineRule="exact"/>
        <w:jc w:val="left"/>
        <w:rPr>
          <w:rFonts w:ascii="宋体" w:hAnsi="宋体" w:eastAsia="宋体" w:cs="微软雅黑"/>
          <w:sz w:val="32"/>
          <w:szCs w:val="32"/>
        </w:rPr>
        <w:sectPr>
          <w:type w:val="continuous"/>
          <w:pgSz w:w="11900" w:h="16840"/>
          <w:pgMar w:top="1440" w:right="1800" w:bottom="1440" w:left="1800" w:header="851" w:footer="992" w:gutter="0"/>
          <w:cols w:space="425" w:num="1"/>
          <w:docGrid w:type="lines" w:linePitch="312" w:charSpace="0"/>
        </w:sectPr>
      </w:pPr>
    </w:p>
    <w:p w14:paraId="4D020299">
      <w:pPr>
        <w:adjustRightInd w:val="0"/>
        <w:snapToGrid w:val="0"/>
        <w:spacing w:before="100" w:beforeAutospacing="1" w:after="100" w:afterAutospacing="1" w:line="570" w:lineRule="exact"/>
        <w:jc w:val="center"/>
        <w:rPr>
          <w:rFonts w:ascii="方正小标宋简体" w:hAnsi="宋体" w:eastAsia="方正小标宋简体" w:cs="微软雅黑"/>
          <w:sz w:val="36"/>
          <w:szCs w:val="36"/>
        </w:rPr>
      </w:pPr>
      <w:r>
        <w:rPr>
          <w:rFonts w:hint="eastAsia" w:ascii="方正小标宋简体" w:hAnsi="宋体" w:eastAsia="方正小标宋简体" w:cs="微软雅黑"/>
          <w:sz w:val="36"/>
          <w:szCs w:val="36"/>
        </w:rPr>
        <w:t>商船学院2024-2025学年硕士研究生学业奖学金</w:t>
      </w:r>
      <w:r>
        <w:rPr>
          <w:rFonts w:hint="eastAsia" w:ascii="方正小标宋简体" w:hAnsi="宋体" w:eastAsia="方正小标宋简体" w:cs="宋体"/>
          <w:kern w:val="0"/>
          <w:sz w:val="36"/>
          <w:szCs w:val="36"/>
        </w:rPr>
        <w:t>计分表</w:t>
      </w:r>
    </w:p>
    <w:tbl>
      <w:tblPr>
        <w:tblStyle w:val="5"/>
        <w:tblpPr w:leftFromText="180" w:rightFromText="180" w:vertAnchor="page" w:horzAnchor="margin" w:tblpXSpec="center" w:tblpY="2767"/>
        <w:tblW w:w="10201" w:type="dxa"/>
        <w:tblInd w:w="0" w:type="dxa"/>
        <w:tblLayout w:type="autofit"/>
        <w:tblCellMar>
          <w:top w:w="0" w:type="dxa"/>
          <w:left w:w="108" w:type="dxa"/>
          <w:bottom w:w="0" w:type="dxa"/>
          <w:right w:w="108" w:type="dxa"/>
        </w:tblCellMar>
      </w:tblPr>
      <w:tblGrid>
        <w:gridCol w:w="700"/>
        <w:gridCol w:w="8"/>
        <w:gridCol w:w="692"/>
        <w:gridCol w:w="1180"/>
        <w:gridCol w:w="1180"/>
        <w:gridCol w:w="1180"/>
        <w:gridCol w:w="1180"/>
        <w:gridCol w:w="1180"/>
        <w:gridCol w:w="2901"/>
      </w:tblGrid>
      <w:tr w14:paraId="735FD622">
        <w:tblPrEx>
          <w:tblCellMar>
            <w:top w:w="0" w:type="dxa"/>
            <w:left w:w="108" w:type="dxa"/>
            <w:bottom w:w="0" w:type="dxa"/>
            <w:right w:w="108" w:type="dxa"/>
          </w:tblCellMar>
        </w:tblPrEx>
        <w:trPr>
          <w:trHeight w:val="600" w:hRule="atLeast"/>
        </w:trPr>
        <w:tc>
          <w:tcPr>
            <w:tcW w:w="1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282206">
            <w:pPr>
              <w:widowControl/>
              <w:spacing w:line="57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w:t>
            </w:r>
          </w:p>
        </w:tc>
        <w:tc>
          <w:tcPr>
            <w:tcW w:w="5900" w:type="dxa"/>
            <w:gridSpan w:val="5"/>
            <w:tcBorders>
              <w:top w:val="single" w:color="auto" w:sz="4" w:space="0"/>
              <w:left w:val="nil"/>
              <w:bottom w:val="single" w:color="auto" w:sz="4" w:space="0"/>
              <w:right w:val="single" w:color="auto" w:sz="4" w:space="0"/>
            </w:tcBorders>
            <w:shd w:val="clear" w:color="auto" w:fill="auto"/>
            <w:vAlign w:val="center"/>
          </w:tcPr>
          <w:p w14:paraId="5D4844B3">
            <w:pPr>
              <w:widowControl/>
              <w:spacing w:line="57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测评分数</w:t>
            </w:r>
          </w:p>
        </w:tc>
        <w:tc>
          <w:tcPr>
            <w:tcW w:w="2901" w:type="dxa"/>
            <w:tcBorders>
              <w:top w:val="single" w:color="auto" w:sz="4" w:space="0"/>
              <w:left w:val="nil"/>
              <w:bottom w:val="single" w:color="auto" w:sz="4" w:space="0"/>
              <w:right w:val="single" w:color="auto" w:sz="4" w:space="0"/>
            </w:tcBorders>
            <w:shd w:val="clear" w:color="auto" w:fill="auto"/>
            <w:vAlign w:val="center"/>
          </w:tcPr>
          <w:p w14:paraId="3F978D7D">
            <w:pPr>
              <w:widowControl/>
              <w:spacing w:line="57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评价人</w:t>
            </w:r>
          </w:p>
        </w:tc>
      </w:tr>
      <w:tr w14:paraId="114CC625">
        <w:tblPrEx>
          <w:tblCellMar>
            <w:top w:w="0" w:type="dxa"/>
            <w:left w:w="108" w:type="dxa"/>
            <w:bottom w:w="0" w:type="dxa"/>
            <w:right w:w="108" w:type="dxa"/>
          </w:tblCellMar>
        </w:tblPrEx>
        <w:trPr>
          <w:trHeight w:val="251" w:hRule="atLeast"/>
        </w:trPr>
        <w:tc>
          <w:tcPr>
            <w:tcW w:w="1400" w:type="dxa"/>
            <w:gridSpan w:val="3"/>
            <w:vMerge w:val="restart"/>
            <w:tcBorders>
              <w:top w:val="single" w:color="auto" w:sz="4" w:space="0"/>
              <w:left w:val="single" w:color="auto" w:sz="4" w:space="0"/>
              <w:right w:val="single" w:color="auto" w:sz="4" w:space="0"/>
            </w:tcBorders>
            <w:shd w:val="clear" w:color="auto" w:fill="auto"/>
            <w:vAlign w:val="center"/>
          </w:tcPr>
          <w:p w14:paraId="23F5B60D">
            <w:pPr>
              <w:widowControl/>
              <w:spacing w:line="57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思想道德</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分</w:t>
            </w:r>
            <w:r>
              <w:rPr>
                <w:rFonts w:ascii="宋体" w:hAnsi="宋体" w:eastAsia="宋体" w:cs="宋体"/>
                <w:color w:val="000000"/>
                <w:kern w:val="0"/>
                <w:sz w:val="22"/>
                <w:szCs w:val="22"/>
              </w:rPr>
              <w:t>)</w:t>
            </w:r>
          </w:p>
        </w:tc>
        <w:tc>
          <w:tcPr>
            <w:tcW w:w="1180" w:type="dxa"/>
            <w:tcBorders>
              <w:top w:val="single" w:color="auto" w:sz="4" w:space="0"/>
              <w:left w:val="nil"/>
              <w:bottom w:val="single" w:color="auto" w:sz="4" w:space="0"/>
              <w:right w:val="single" w:color="auto" w:sz="4" w:space="0"/>
            </w:tcBorders>
            <w:shd w:val="clear" w:color="auto" w:fill="auto"/>
            <w:vAlign w:val="center"/>
          </w:tcPr>
          <w:p w14:paraId="2E6AC418">
            <w:pPr>
              <w:widowControl/>
              <w:spacing w:line="570" w:lineRule="exact"/>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基本分</w:t>
            </w:r>
          </w:p>
        </w:tc>
        <w:tc>
          <w:tcPr>
            <w:tcW w:w="3540" w:type="dxa"/>
            <w:gridSpan w:val="3"/>
            <w:tcBorders>
              <w:top w:val="single" w:color="auto" w:sz="4" w:space="0"/>
              <w:left w:val="nil"/>
              <w:bottom w:val="single" w:color="auto" w:sz="4" w:space="0"/>
              <w:right w:val="single" w:color="auto" w:sz="4" w:space="0"/>
            </w:tcBorders>
            <w:shd w:val="clear" w:color="auto" w:fill="auto"/>
            <w:vAlign w:val="center"/>
          </w:tcPr>
          <w:p w14:paraId="3018D1EC">
            <w:pPr>
              <w:widowControl/>
              <w:spacing w:line="570" w:lineRule="exact"/>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加减分</w:t>
            </w:r>
          </w:p>
        </w:tc>
        <w:tc>
          <w:tcPr>
            <w:tcW w:w="1180" w:type="dxa"/>
            <w:vMerge w:val="restart"/>
            <w:tcBorders>
              <w:top w:val="nil"/>
              <w:left w:val="nil"/>
              <w:right w:val="single" w:color="auto" w:sz="4" w:space="0"/>
            </w:tcBorders>
            <w:shd w:val="clear" w:color="auto" w:fill="auto"/>
            <w:vAlign w:val="center"/>
          </w:tcPr>
          <w:p w14:paraId="12F37BD4">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　</w:t>
            </w:r>
          </w:p>
        </w:tc>
        <w:tc>
          <w:tcPr>
            <w:tcW w:w="2901" w:type="dxa"/>
            <w:vMerge w:val="restart"/>
            <w:tcBorders>
              <w:top w:val="single" w:color="auto" w:sz="4" w:space="0"/>
              <w:left w:val="nil"/>
              <w:bottom w:val="single" w:color="auto" w:sz="4" w:space="0"/>
              <w:right w:val="single" w:color="auto" w:sz="4" w:space="0"/>
            </w:tcBorders>
            <w:shd w:val="clear" w:color="auto" w:fill="auto"/>
            <w:vAlign w:val="center"/>
          </w:tcPr>
          <w:p w14:paraId="7C22EEA4">
            <w:pPr>
              <w:widowControl/>
              <w:spacing w:line="57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辅导员签名：</w:t>
            </w:r>
          </w:p>
        </w:tc>
      </w:tr>
      <w:tr w14:paraId="09239E1B">
        <w:tblPrEx>
          <w:tblCellMar>
            <w:top w:w="0" w:type="dxa"/>
            <w:left w:w="108" w:type="dxa"/>
            <w:bottom w:w="0" w:type="dxa"/>
            <w:right w:w="108" w:type="dxa"/>
          </w:tblCellMar>
        </w:tblPrEx>
        <w:trPr>
          <w:trHeight w:val="251" w:hRule="atLeast"/>
        </w:trPr>
        <w:tc>
          <w:tcPr>
            <w:tcW w:w="1400" w:type="dxa"/>
            <w:gridSpan w:val="3"/>
            <w:vMerge w:val="continue"/>
            <w:tcBorders>
              <w:left w:val="single" w:color="auto" w:sz="4" w:space="0"/>
              <w:bottom w:val="single" w:color="auto" w:sz="4" w:space="0"/>
              <w:right w:val="single" w:color="auto" w:sz="4" w:space="0"/>
            </w:tcBorders>
            <w:shd w:val="clear" w:color="auto" w:fill="auto"/>
            <w:vAlign w:val="center"/>
          </w:tcPr>
          <w:p w14:paraId="2E6C13E7">
            <w:pPr>
              <w:widowControl/>
              <w:spacing w:line="570" w:lineRule="exact"/>
              <w:jc w:val="center"/>
              <w:rPr>
                <w:rFonts w:ascii="宋体" w:hAnsi="宋体" w:eastAsia="宋体" w:cs="宋体"/>
                <w:color w:val="000000"/>
                <w:kern w:val="0"/>
                <w:sz w:val="22"/>
                <w:szCs w:val="22"/>
              </w:rPr>
            </w:pPr>
          </w:p>
        </w:tc>
        <w:tc>
          <w:tcPr>
            <w:tcW w:w="1180" w:type="dxa"/>
            <w:tcBorders>
              <w:top w:val="single" w:color="auto" w:sz="4" w:space="0"/>
              <w:left w:val="nil"/>
              <w:bottom w:val="single" w:color="auto" w:sz="4" w:space="0"/>
              <w:right w:val="single" w:color="auto" w:sz="4" w:space="0"/>
            </w:tcBorders>
            <w:shd w:val="clear" w:color="auto" w:fill="auto"/>
            <w:vAlign w:val="center"/>
          </w:tcPr>
          <w:p w14:paraId="0D8F8DF2">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2.5</w:t>
            </w:r>
          </w:p>
        </w:tc>
        <w:tc>
          <w:tcPr>
            <w:tcW w:w="3540" w:type="dxa"/>
            <w:gridSpan w:val="3"/>
            <w:tcBorders>
              <w:top w:val="single" w:color="auto" w:sz="4" w:space="0"/>
              <w:left w:val="nil"/>
              <w:bottom w:val="single" w:color="auto" w:sz="4" w:space="0"/>
              <w:right w:val="single" w:color="auto" w:sz="4" w:space="0"/>
            </w:tcBorders>
            <w:shd w:val="clear" w:color="auto" w:fill="auto"/>
            <w:vAlign w:val="center"/>
          </w:tcPr>
          <w:p w14:paraId="2241606D">
            <w:pPr>
              <w:widowControl/>
              <w:spacing w:line="570" w:lineRule="exact"/>
              <w:jc w:val="center"/>
              <w:rPr>
                <w:rFonts w:ascii="宋体" w:hAnsi="宋体" w:eastAsia="宋体" w:cs="Times New Roman"/>
                <w:color w:val="000000"/>
                <w:kern w:val="0"/>
                <w:szCs w:val="21"/>
              </w:rPr>
            </w:pPr>
          </w:p>
        </w:tc>
        <w:tc>
          <w:tcPr>
            <w:tcW w:w="1180" w:type="dxa"/>
            <w:vMerge w:val="continue"/>
            <w:tcBorders>
              <w:left w:val="nil"/>
              <w:bottom w:val="single" w:color="auto" w:sz="4" w:space="0"/>
              <w:right w:val="single" w:color="auto" w:sz="4" w:space="0"/>
            </w:tcBorders>
            <w:shd w:val="clear" w:color="auto" w:fill="auto"/>
            <w:vAlign w:val="center"/>
          </w:tcPr>
          <w:p w14:paraId="1E6E0EA1">
            <w:pPr>
              <w:widowControl/>
              <w:spacing w:line="570" w:lineRule="exact"/>
              <w:jc w:val="center"/>
              <w:rPr>
                <w:rFonts w:ascii="宋体" w:hAnsi="宋体" w:eastAsia="宋体" w:cs="Times New Roman"/>
                <w:color w:val="000000"/>
                <w:kern w:val="0"/>
                <w:szCs w:val="21"/>
              </w:rPr>
            </w:pPr>
          </w:p>
        </w:tc>
        <w:tc>
          <w:tcPr>
            <w:tcW w:w="2901" w:type="dxa"/>
            <w:vMerge w:val="continue"/>
            <w:tcBorders>
              <w:left w:val="nil"/>
              <w:bottom w:val="single" w:color="auto" w:sz="4" w:space="0"/>
              <w:right w:val="single" w:color="auto" w:sz="4" w:space="0"/>
            </w:tcBorders>
            <w:shd w:val="clear" w:color="auto" w:fill="auto"/>
            <w:vAlign w:val="center"/>
          </w:tcPr>
          <w:p w14:paraId="56278285">
            <w:pPr>
              <w:widowControl/>
              <w:spacing w:line="570" w:lineRule="exact"/>
              <w:jc w:val="left"/>
              <w:rPr>
                <w:rFonts w:ascii="宋体" w:hAnsi="宋体" w:eastAsia="宋体" w:cs="宋体"/>
                <w:color w:val="000000"/>
                <w:kern w:val="0"/>
                <w:szCs w:val="21"/>
              </w:rPr>
            </w:pPr>
          </w:p>
        </w:tc>
      </w:tr>
      <w:tr w14:paraId="50479013">
        <w:tblPrEx>
          <w:tblCellMar>
            <w:top w:w="0" w:type="dxa"/>
            <w:left w:w="108" w:type="dxa"/>
            <w:bottom w:w="0" w:type="dxa"/>
            <w:right w:w="108" w:type="dxa"/>
          </w:tblCellMar>
        </w:tblPrEx>
        <w:trPr>
          <w:trHeight w:val="300" w:hRule="atLeast"/>
        </w:trPr>
        <w:tc>
          <w:tcPr>
            <w:tcW w:w="14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877D40">
            <w:pPr>
              <w:widowControl/>
              <w:spacing w:line="57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课程学习</w:t>
            </w:r>
          </w:p>
        </w:tc>
        <w:tc>
          <w:tcPr>
            <w:tcW w:w="1180" w:type="dxa"/>
            <w:tcBorders>
              <w:top w:val="nil"/>
              <w:left w:val="nil"/>
              <w:bottom w:val="single" w:color="auto" w:sz="4" w:space="0"/>
              <w:right w:val="single" w:color="auto" w:sz="4" w:space="0"/>
            </w:tcBorders>
            <w:shd w:val="clear" w:color="auto" w:fill="auto"/>
            <w:vAlign w:val="center"/>
          </w:tcPr>
          <w:p w14:paraId="3C5C06E8">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A</w:t>
            </w:r>
          </w:p>
        </w:tc>
        <w:tc>
          <w:tcPr>
            <w:tcW w:w="1180" w:type="dxa"/>
            <w:tcBorders>
              <w:top w:val="nil"/>
              <w:left w:val="nil"/>
              <w:bottom w:val="single" w:color="auto" w:sz="4" w:space="0"/>
              <w:right w:val="single" w:color="auto" w:sz="4" w:space="0"/>
            </w:tcBorders>
            <w:shd w:val="clear" w:color="auto" w:fill="auto"/>
            <w:vAlign w:val="center"/>
          </w:tcPr>
          <w:p w14:paraId="65813DFA">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B</w:t>
            </w:r>
          </w:p>
        </w:tc>
        <w:tc>
          <w:tcPr>
            <w:tcW w:w="1180" w:type="dxa"/>
            <w:tcBorders>
              <w:top w:val="nil"/>
              <w:left w:val="nil"/>
              <w:bottom w:val="single" w:color="auto" w:sz="4" w:space="0"/>
              <w:right w:val="single" w:color="auto" w:sz="4" w:space="0"/>
            </w:tcBorders>
            <w:shd w:val="clear" w:color="auto" w:fill="auto"/>
            <w:vAlign w:val="center"/>
          </w:tcPr>
          <w:p w14:paraId="6594FF39">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C</w:t>
            </w:r>
          </w:p>
        </w:tc>
        <w:tc>
          <w:tcPr>
            <w:tcW w:w="1180" w:type="dxa"/>
            <w:tcBorders>
              <w:top w:val="nil"/>
              <w:left w:val="nil"/>
              <w:bottom w:val="single" w:color="auto" w:sz="4" w:space="0"/>
              <w:right w:val="single" w:color="auto" w:sz="4" w:space="0"/>
            </w:tcBorders>
            <w:shd w:val="clear" w:color="auto" w:fill="auto"/>
            <w:vAlign w:val="center"/>
          </w:tcPr>
          <w:p w14:paraId="02BE7744">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D</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422CCFE">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　</w:t>
            </w:r>
          </w:p>
        </w:tc>
        <w:tc>
          <w:tcPr>
            <w:tcW w:w="29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0CA986">
            <w:pPr>
              <w:widowControl/>
              <w:spacing w:line="57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教学秘书签名：</w:t>
            </w:r>
          </w:p>
        </w:tc>
      </w:tr>
      <w:tr w14:paraId="0C277A84">
        <w:tblPrEx>
          <w:tblCellMar>
            <w:top w:w="0" w:type="dxa"/>
            <w:left w:w="108" w:type="dxa"/>
            <w:bottom w:w="0" w:type="dxa"/>
            <w:right w:w="108" w:type="dxa"/>
          </w:tblCellMar>
        </w:tblPrEx>
        <w:trPr>
          <w:trHeight w:val="300" w:hRule="atLeast"/>
        </w:trPr>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14:paraId="38B20E06">
            <w:pPr>
              <w:widowControl/>
              <w:spacing w:line="570" w:lineRule="exact"/>
              <w:jc w:val="left"/>
              <w:rPr>
                <w:rFonts w:ascii="宋体" w:hAnsi="宋体" w:eastAsia="宋体" w:cs="宋体"/>
                <w:color w:val="000000"/>
                <w:kern w:val="0"/>
                <w:sz w:val="22"/>
                <w:szCs w:val="22"/>
              </w:rPr>
            </w:pPr>
          </w:p>
        </w:tc>
        <w:tc>
          <w:tcPr>
            <w:tcW w:w="1180" w:type="dxa"/>
            <w:tcBorders>
              <w:top w:val="nil"/>
              <w:left w:val="nil"/>
              <w:bottom w:val="single" w:color="auto" w:sz="4" w:space="0"/>
              <w:right w:val="single" w:color="auto" w:sz="4" w:space="0"/>
            </w:tcBorders>
            <w:shd w:val="clear" w:color="auto" w:fill="auto"/>
            <w:vAlign w:val="center"/>
          </w:tcPr>
          <w:p w14:paraId="0173F9F2">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20</w:t>
            </w:r>
          </w:p>
        </w:tc>
        <w:tc>
          <w:tcPr>
            <w:tcW w:w="1180" w:type="dxa"/>
            <w:tcBorders>
              <w:top w:val="nil"/>
              <w:left w:val="nil"/>
              <w:bottom w:val="single" w:color="auto" w:sz="4" w:space="0"/>
              <w:right w:val="single" w:color="auto" w:sz="4" w:space="0"/>
            </w:tcBorders>
            <w:shd w:val="clear" w:color="auto" w:fill="auto"/>
            <w:vAlign w:val="center"/>
          </w:tcPr>
          <w:p w14:paraId="5A18E182">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16</w:t>
            </w:r>
          </w:p>
        </w:tc>
        <w:tc>
          <w:tcPr>
            <w:tcW w:w="1180" w:type="dxa"/>
            <w:tcBorders>
              <w:top w:val="nil"/>
              <w:left w:val="nil"/>
              <w:bottom w:val="single" w:color="auto" w:sz="4" w:space="0"/>
              <w:right w:val="single" w:color="auto" w:sz="4" w:space="0"/>
            </w:tcBorders>
            <w:shd w:val="clear" w:color="auto" w:fill="auto"/>
            <w:vAlign w:val="center"/>
          </w:tcPr>
          <w:p w14:paraId="45FC4C20">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12</w:t>
            </w:r>
          </w:p>
        </w:tc>
        <w:tc>
          <w:tcPr>
            <w:tcW w:w="1180" w:type="dxa"/>
            <w:tcBorders>
              <w:top w:val="nil"/>
              <w:left w:val="nil"/>
              <w:bottom w:val="single" w:color="auto" w:sz="4" w:space="0"/>
              <w:right w:val="single" w:color="auto" w:sz="4" w:space="0"/>
            </w:tcBorders>
            <w:shd w:val="clear" w:color="auto" w:fill="auto"/>
            <w:vAlign w:val="center"/>
          </w:tcPr>
          <w:p w14:paraId="0C9D707D">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8</w:t>
            </w:r>
          </w:p>
        </w:tc>
        <w:tc>
          <w:tcPr>
            <w:tcW w:w="1180" w:type="dxa"/>
            <w:vMerge w:val="continue"/>
            <w:tcBorders>
              <w:top w:val="nil"/>
              <w:left w:val="single" w:color="auto" w:sz="4" w:space="0"/>
              <w:bottom w:val="single" w:color="auto" w:sz="4" w:space="0"/>
              <w:right w:val="single" w:color="auto" w:sz="4" w:space="0"/>
            </w:tcBorders>
            <w:vAlign w:val="center"/>
          </w:tcPr>
          <w:p w14:paraId="6036F1FA">
            <w:pPr>
              <w:widowControl/>
              <w:spacing w:line="570" w:lineRule="exact"/>
              <w:jc w:val="left"/>
              <w:rPr>
                <w:rFonts w:ascii="宋体" w:hAnsi="宋体" w:eastAsia="宋体" w:cs="Times New Roman"/>
                <w:color w:val="000000"/>
                <w:kern w:val="0"/>
                <w:szCs w:val="21"/>
              </w:rPr>
            </w:pPr>
          </w:p>
        </w:tc>
        <w:tc>
          <w:tcPr>
            <w:tcW w:w="2901" w:type="dxa"/>
            <w:vMerge w:val="continue"/>
            <w:tcBorders>
              <w:top w:val="single" w:color="auto" w:sz="4" w:space="0"/>
              <w:left w:val="single" w:color="auto" w:sz="4" w:space="0"/>
              <w:bottom w:val="single" w:color="auto" w:sz="4" w:space="0"/>
              <w:right w:val="single" w:color="auto" w:sz="4" w:space="0"/>
            </w:tcBorders>
            <w:vAlign w:val="center"/>
          </w:tcPr>
          <w:p w14:paraId="32C7BF1F">
            <w:pPr>
              <w:widowControl/>
              <w:spacing w:line="570" w:lineRule="exact"/>
              <w:jc w:val="left"/>
              <w:rPr>
                <w:rFonts w:ascii="宋体" w:hAnsi="宋体" w:eastAsia="宋体" w:cs="宋体"/>
                <w:color w:val="000000"/>
                <w:kern w:val="0"/>
                <w:szCs w:val="21"/>
              </w:rPr>
            </w:pPr>
          </w:p>
        </w:tc>
      </w:tr>
      <w:tr w14:paraId="1F864BBB">
        <w:tblPrEx>
          <w:tblCellMar>
            <w:top w:w="0" w:type="dxa"/>
            <w:left w:w="108" w:type="dxa"/>
            <w:bottom w:w="0" w:type="dxa"/>
            <w:right w:w="108" w:type="dxa"/>
          </w:tblCellMar>
        </w:tblPrEx>
        <w:trPr>
          <w:trHeight w:val="1140" w:hRule="atLeast"/>
        </w:trPr>
        <w:tc>
          <w:tcPr>
            <w:tcW w:w="700" w:type="dxa"/>
            <w:vMerge w:val="restart"/>
            <w:tcBorders>
              <w:top w:val="nil"/>
              <w:left w:val="single" w:color="auto" w:sz="4" w:space="0"/>
              <w:bottom w:val="nil"/>
              <w:right w:val="single" w:color="auto" w:sz="4" w:space="0"/>
            </w:tcBorders>
            <w:shd w:val="clear" w:color="auto" w:fill="auto"/>
            <w:vAlign w:val="center"/>
          </w:tcPr>
          <w:p w14:paraId="6CBDCC8D">
            <w:pPr>
              <w:widowControl/>
              <w:spacing w:line="57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w:t>
            </w:r>
            <w:r>
              <w:rPr>
                <w:rFonts w:hint="eastAsia" w:ascii="宋体" w:hAnsi="宋体" w:eastAsia="宋体" w:cs="宋体"/>
                <w:color w:val="000000"/>
                <w:kern w:val="0"/>
                <w:sz w:val="22"/>
                <w:szCs w:val="22"/>
              </w:rPr>
              <w:br w:type="textWrapping"/>
            </w:r>
          </w:p>
          <w:p w14:paraId="2A4C024B">
            <w:pPr>
              <w:widowControl/>
              <w:spacing w:line="57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研</w:t>
            </w:r>
            <w:r>
              <w:rPr>
                <w:rFonts w:hint="eastAsia" w:ascii="宋体" w:hAnsi="宋体" w:eastAsia="宋体" w:cs="宋体"/>
                <w:color w:val="000000"/>
                <w:kern w:val="0"/>
                <w:sz w:val="22"/>
                <w:szCs w:val="22"/>
              </w:rPr>
              <w:br w:type="textWrapping"/>
            </w:r>
          </w:p>
          <w:p w14:paraId="76E8E01C">
            <w:pPr>
              <w:widowControl/>
              <w:spacing w:line="57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w:t>
            </w:r>
            <w:r>
              <w:rPr>
                <w:rFonts w:hint="eastAsia" w:ascii="宋体" w:hAnsi="宋体" w:eastAsia="宋体" w:cs="宋体"/>
                <w:color w:val="000000"/>
                <w:kern w:val="0"/>
                <w:sz w:val="22"/>
                <w:szCs w:val="22"/>
              </w:rPr>
              <w:br w:type="textWrapping"/>
            </w:r>
          </w:p>
          <w:p w14:paraId="2B138E73">
            <w:pPr>
              <w:widowControl/>
              <w:spacing w:line="57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果</w:t>
            </w:r>
          </w:p>
        </w:tc>
        <w:tc>
          <w:tcPr>
            <w:tcW w:w="5420" w:type="dxa"/>
            <w:gridSpan w:val="6"/>
            <w:tcBorders>
              <w:top w:val="single" w:color="auto" w:sz="4" w:space="0"/>
              <w:left w:val="single" w:color="auto" w:sz="4" w:space="0"/>
              <w:bottom w:val="single" w:color="auto" w:sz="4" w:space="0"/>
              <w:right w:val="single" w:color="auto" w:sz="4" w:space="0"/>
            </w:tcBorders>
            <w:shd w:val="clear" w:color="auto" w:fill="auto"/>
          </w:tcPr>
          <w:p w14:paraId="243C0742">
            <w:pPr>
              <w:widowControl/>
              <w:spacing w:line="570" w:lineRule="exact"/>
              <w:jc w:val="left"/>
              <w:rPr>
                <w:rFonts w:ascii="宋体" w:hAnsi="宋体" w:eastAsia="宋体" w:cs="Times New Roman"/>
                <w:color w:val="000000"/>
                <w:kern w:val="0"/>
                <w:szCs w:val="21"/>
              </w:rPr>
            </w:pPr>
            <w:r>
              <w:rPr>
                <w:rFonts w:ascii="宋体" w:hAnsi="宋体" w:eastAsia="宋体" w:cs="Times New Roman"/>
                <w:color w:val="000000"/>
                <w:kern w:val="0"/>
                <w:szCs w:val="21"/>
              </w:rPr>
              <w:t>1</w:t>
            </w:r>
            <w:r>
              <w:rPr>
                <w:rFonts w:ascii="宋体" w:hAnsi="宋体" w:eastAsia="宋体" w:cs="Times New Roman"/>
                <w:color w:val="000000"/>
                <w:kern w:val="0"/>
                <w:szCs w:val="21"/>
              </w:rPr>
              <w:br w:type="textWrapping"/>
            </w:r>
            <w:r>
              <w:rPr>
                <w:rFonts w:hint="eastAsia" w:ascii="宋体" w:hAnsi="宋体" w:eastAsia="宋体" w:cs="Times New Roman"/>
                <w:color w:val="000000"/>
                <w:kern w:val="0"/>
                <w:szCs w:val="21"/>
              </w:rPr>
              <w:t xml:space="preserve">                                    自评分数：</w:t>
            </w:r>
          </w:p>
        </w:tc>
        <w:tc>
          <w:tcPr>
            <w:tcW w:w="1180" w:type="dxa"/>
            <w:tcBorders>
              <w:top w:val="nil"/>
              <w:left w:val="single" w:color="auto" w:sz="4" w:space="0"/>
              <w:bottom w:val="single" w:color="auto" w:sz="4" w:space="0"/>
              <w:right w:val="single" w:color="auto" w:sz="4" w:space="0"/>
            </w:tcBorders>
            <w:shd w:val="clear" w:color="auto" w:fill="auto"/>
            <w:vAlign w:val="center"/>
          </w:tcPr>
          <w:p w14:paraId="1EF92820">
            <w:pPr>
              <w:widowControl/>
              <w:spacing w:line="57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01" w:type="dxa"/>
            <w:tcBorders>
              <w:top w:val="single" w:color="auto" w:sz="4" w:space="0"/>
              <w:left w:val="single" w:color="auto" w:sz="4" w:space="0"/>
              <w:bottom w:val="nil"/>
              <w:right w:val="single" w:color="auto" w:sz="4" w:space="0"/>
            </w:tcBorders>
            <w:shd w:val="clear" w:color="auto" w:fill="auto"/>
            <w:vAlign w:val="center"/>
          </w:tcPr>
          <w:p w14:paraId="0331D90B">
            <w:pPr>
              <w:widowControl/>
              <w:spacing w:after="240" w:line="57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学位点负责人签名：</w:t>
            </w:r>
          </w:p>
        </w:tc>
      </w:tr>
      <w:tr w14:paraId="55D4966F">
        <w:tblPrEx>
          <w:tblCellMar>
            <w:top w:w="0" w:type="dxa"/>
            <w:left w:w="108" w:type="dxa"/>
            <w:bottom w:w="0" w:type="dxa"/>
            <w:right w:w="108" w:type="dxa"/>
          </w:tblCellMar>
        </w:tblPrEx>
        <w:trPr>
          <w:trHeight w:val="956" w:hRule="atLeast"/>
        </w:trPr>
        <w:tc>
          <w:tcPr>
            <w:tcW w:w="700" w:type="dxa"/>
            <w:vMerge w:val="continue"/>
            <w:tcBorders>
              <w:left w:val="single" w:color="auto" w:sz="4" w:space="0"/>
              <w:right w:val="single" w:color="auto" w:sz="4" w:space="0"/>
            </w:tcBorders>
            <w:vAlign w:val="center"/>
          </w:tcPr>
          <w:p w14:paraId="7C04B667">
            <w:pPr>
              <w:widowControl/>
              <w:spacing w:line="570" w:lineRule="exact"/>
              <w:jc w:val="left"/>
              <w:rPr>
                <w:rFonts w:ascii="宋体" w:hAnsi="宋体" w:eastAsia="宋体" w:cs="宋体"/>
                <w:color w:val="000000"/>
                <w:kern w:val="0"/>
                <w:sz w:val="22"/>
                <w:szCs w:val="22"/>
              </w:rPr>
            </w:pPr>
          </w:p>
        </w:tc>
        <w:tc>
          <w:tcPr>
            <w:tcW w:w="5420" w:type="dxa"/>
            <w:gridSpan w:val="6"/>
            <w:tcBorders>
              <w:top w:val="single" w:color="auto" w:sz="4" w:space="0"/>
              <w:left w:val="single" w:color="auto" w:sz="4" w:space="0"/>
              <w:bottom w:val="single" w:color="auto" w:sz="4" w:space="0"/>
              <w:right w:val="single" w:color="auto" w:sz="4" w:space="0"/>
            </w:tcBorders>
            <w:shd w:val="clear" w:color="auto" w:fill="auto"/>
          </w:tcPr>
          <w:p w14:paraId="428C5249">
            <w:pPr>
              <w:widowControl/>
              <w:spacing w:line="570" w:lineRule="exact"/>
              <w:jc w:val="left"/>
              <w:rPr>
                <w:rFonts w:ascii="宋体" w:hAnsi="宋体" w:eastAsia="宋体" w:cs="Times New Roman"/>
                <w:color w:val="000000"/>
                <w:kern w:val="0"/>
                <w:szCs w:val="21"/>
              </w:rPr>
            </w:pPr>
            <w:r>
              <w:rPr>
                <w:rFonts w:ascii="宋体" w:hAnsi="宋体" w:eastAsia="宋体" w:cs="Times New Roman"/>
                <w:color w:val="000000"/>
                <w:kern w:val="0"/>
                <w:szCs w:val="21"/>
              </w:rPr>
              <w:t>2</w:t>
            </w:r>
            <w:r>
              <w:rPr>
                <w:rFonts w:ascii="宋体" w:hAnsi="宋体" w:eastAsia="宋体" w:cs="Times New Roman"/>
                <w:color w:val="000000"/>
                <w:kern w:val="0"/>
                <w:szCs w:val="21"/>
              </w:rPr>
              <w:br w:type="textWrapping"/>
            </w:r>
            <w:r>
              <w:rPr>
                <w:rFonts w:hint="eastAsia" w:ascii="宋体" w:hAnsi="宋体" w:eastAsia="宋体" w:cs="Times New Roman"/>
                <w:color w:val="000000"/>
                <w:kern w:val="0"/>
                <w:szCs w:val="21"/>
              </w:rPr>
              <w:t xml:space="preserve">                                    自评分数：</w:t>
            </w:r>
          </w:p>
        </w:tc>
        <w:tc>
          <w:tcPr>
            <w:tcW w:w="1180" w:type="dxa"/>
            <w:tcBorders>
              <w:top w:val="nil"/>
              <w:left w:val="single" w:color="auto" w:sz="4" w:space="0"/>
              <w:bottom w:val="single" w:color="auto" w:sz="4" w:space="0"/>
              <w:right w:val="single" w:color="auto" w:sz="4" w:space="0"/>
            </w:tcBorders>
            <w:shd w:val="clear" w:color="auto" w:fill="auto"/>
            <w:vAlign w:val="center"/>
          </w:tcPr>
          <w:p w14:paraId="3ECF6CAC">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　</w:t>
            </w:r>
          </w:p>
        </w:tc>
        <w:tc>
          <w:tcPr>
            <w:tcW w:w="2901" w:type="dxa"/>
            <w:vMerge w:val="restart"/>
            <w:tcBorders>
              <w:left w:val="single" w:color="auto" w:sz="4" w:space="0"/>
              <w:bottom w:val="nil"/>
              <w:right w:val="single" w:color="auto" w:sz="4" w:space="0"/>
            </w:tcBorders>
            <w:shd w:val="clear" w:color="auto" w:fill="auto"/>
            <w:vAlign w:val="center"/>
          </w:tcPr>
          <w:p w14:paraId="17F7D661">
            <w:pPr>
              <w:widowControl/>
              <w:spacing w:line="570" w:lineRule="exact"/>
              <w:jc w:val="left"/>
              <w:rPr>
                <w:rFonts w:ascii="宋体" w:hAnsi="宋体" w:eastAsia="宋体" w:cs="宋体"/>
                <w:color w:val="000000"/>
                <w:kern w:val="0"/>
                <w:szCs w:val="21"/>
              </w:rPr>
            </w:pPr>
          </w:p>
        </w:tc>
      </w:tr>
      <w:tr w14:paraId="1BDCA412">
        <w:tblPrEx>
          <w:tblCellMar>
            <w:top w:w="0" w:type="dxa"/>
            <w:left w:w="108" w:type="dxa"/>
            <w:bottom w:w="0" w:type="dxa"/>
            <w:right w:w="108" w:type="dxa"/>
          </w:tblCellMar>
        </w:tblPrEx>
        <w:trPr>
          <w:trHeight w:val="956" w:hRule="atLeast"/>
        </w:trPr>
        <w:tc>
          <w:tcPr>
            <w:tcW w:w="700" w:type="dxa"/>
            <w:vMerge w:val="continue"/>
            <w:tcBorders>
              <w:left w:val="single" w:color="auto" w:sz="4" w:space="0"/>
              <w:right w:val="single" w:color="auto" w:sz="4" w:space="0"/>
            </w:tcBorders>
            <w:vAlign w:val="center"/>
          </w:tcPr>
          <w:p w14:paraId="48538BF8">
            <w:pPr>
              <w:widowControl/>
              <w:spacing w:line="570" w:lineRule="exact"/>
              <w:jc w:val="left"/>
              <w:rPr>
                <w:rFonts w:ascii="宋体" w:hAnsi="宋体" w:eastAsia="宋体" w:cs="宋体"/>
                <w:color w:val="000000"/>
                <w:kern w:val="0"/>
                <w:sz w:val="22"/>
                <w:szCs w:val="22"/>
              </w:rPr>
            </w:pPr>
          </w:p>
        </w:tc>
        <w:tc>
          <w:tcPr>
            <w:tcW w:w="5420" w:type="dxa"/>
            <w:gridSpan w:val="6"/>
            <w:tcBorders>
              <w:top w:val="single" w:color="auto" w:sz="4" w:space="0"/>
              <w:left w:val="single" w:color="auto" w:sz="4" w:space="0"/>
              <w:bottom w:val="single" w:color="auto" w:sz="4" w:space="0"/>
              <w:right w:val="single" w:color="auto" w:sz="4" w:space="0"/>
            </w:tcBorders>
            <w:shd w:val="clear" w:color="auto" w:fill="auto"/>
          </w:tcPr>
          <w:p w14:paraId="734E700E">
            <w:pPr>
              <w:widowControl/>
              <w:spacing w:line="570" w:lineRule="exact"/>
              <w:jc w:val="left"/>
              <w:rPr>
                <w:rFonts w:ascii="宋体" w:hAnsi="宋体" w:eastAsia="宋体" w:cs="Times New Roman"/>
                <w:color w:val="000000"/>
                <w:kern w:val="0"/>
                <w:szCs w:val="21"/>
              </w:rPr>
            </w:pPr>
            <w:r>
              <w:rPr>
                <w:rFonts w:ascii="宋体" w:hAnsi="宋体" w:eastAsia="宋体" w:cs="Times New Roman"/>
                <w:color w:val="000000"/>
                <w:kern w:val="0"/>
                <w:szCs w:val="21"/>
              </w:rPr>
              <w:t>3</w:t>
            </w:r>
            <w:r>
              <w:rPr>
                <w:rFonts w:ascii="宋体" w:hAnsi="宋体" w:eastAsia="宋体" w:cs="Times New Roman"/>
                <w:color w:val="000000"/>
                <w:kern w:val="0"/>
                <w:szCs w:val="21"/>
              </w:rPr>
              <w:br w:type="textWrapping"/>
            </w:r>
            <w:r>
              <w:rPr>
                <w:rFonts w:hint="eastAsia" w:ascii="宋体" w:hAnsi="宋体" w:eastAsia="宋体" w:cs="Times New Roman"/>
                <w:color w:val="000000"/>
                <w:kern w:val="0"/>
                <w:szCs w:val="21"/>
              </w:rPr>
              <w:t xml:space="preserve">                                    自评分数：</w:t>
            </w:r>
          </w:p>
        </w:tc>
        <w:tc>
          <w:tcPr>
            <w:tcW w:w="1180" w:type="dxa"/>
            <w:tcBorders>
              <w:top w:val="nil"/>
              <w:left w:val="single" w:color="auto" w:sz="4" w:space="0"/>
              <w:bottom w:val="single" w:color="auto" w:sz="4" w:space="0"/>
              <w:right w:val="single" w:color="auto" w:sz="4" w:space="0"/>
            </w:tcBorders>
            <w:shd w:val="clear" w:color="auto" w:fill="auto"/>
            <w:vAlign w:val="center"/>
          </w:tcPr>
          <w:p w14:paraId="18CF0127">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　</w:t>
            </w:r>
          </w:p>
        </w:tc>
        <w:tc>
          <w:tcPr>
            <w:tcW w:w="2901" w:type="dxa"/>
            <w:vMerge w:val="continue"/>
            <w:tcBorders>
              <w:left w:val="single" w:color="auto" w:sz="4" w:space="0"/>
              <w:bottom w:val="nil"/>
              <w:right w:val="single" w:color="auto" w:sz="4" w:space="0"/>
            </w:tcBorders>
            <w:shd w:val="clear" w:color="auto" w:fill="auto"/>
            <w:vAlign w:val="center"/>
          </w:tcPr>
          <w:p w14:paraId="03E32EF5">
            <w:pPr>
              <w:widowControl/>
              <w:spacing w:line="570" w:lineRule="exact"/>
              <w:jc w:val="left"/>
              <w:rPr>
                <w:rFonts w:ascii="宋体" w:hAnsi="宋体" w:eastAsia="宋体" w:cs="宋体"/>
                <w:color w:val="000000"/>
                <w:kern w:val="0"/>
                <w:szCs w:val="21"/>
              </w:rPr>
            </w:pPr>
          </w:p>
        </w:tc>
      </w:tr>
      <w:tr w14:paraId="3A0FAE28">
        <w:tblPrEx>
          <w:tblCellMar>
            <w:top w:w="0" w:type="dxa"/>
            <w:left w:w="108" w:type="dxa"/>
            <w:bottom w:w="0" w:type="dxa"/>
            <w:right w:w="108" w:type="dxa"/>
          </w:tblCellMar>
        </w:tblPrEx>
        <w:trPr>
          <w:trHeight w:val="956" w:hRule="atLeast"/>
        </w:trPr>
        <w:tc>
          <w:tcPr>
            <w:tcW w:w="700" w:type="dxa"/>
            <w:vMerge w:val="continue"/>
            <w:tcBorders>
              <w:left w:val="single" w:color="auto" w:sz="4" w:space="0"/>
              <w:right w:val="single" w:color="auto" w:sz="4" w:space="0"/>
            </w:tcBorders>
            <w:vAlign w:val="center"/>
          </w:tcPr>
          <w:p w14:paraId="579D0852">
            <w:pPr>
              <w:widowControl/>
              <w:spacing w:line="570" w:lineRule="exact"/>
              <w:jc w:val="left"/>
              <w:rPr>
                <w:rFonts w:ascii="宋体" w:hAnsi="宋体" w:eastAsia="宋体" w:cs="宋体"/>
                <w:color w:val="000000"/>
                <w:kern w:val="0"/>
                <w:sz w:val="22"/>
                <w:szCs w:val="22"/>
              </w:rPr>
            </w:pPr>
          </w:p>
        </w:tc>
        <w:tc>
          <w:tcPr>
            <w:tcW w:w="5420" w:type="dxa"/>
            <w:gridSpan w:val="6"/>
            <w:tcBorders>
              <w:top w:val="single" w:color="auto" w:sz="4" w:space="0"/>
              <w:left w:val="single" w:color="auto" w:sz="4" w:space="0"/>
              <w:bottom w:val="single" w:color="auto" w:sz="4" w:space="0"/>
              <w:right w:val="single" w:color="auto" w:sz="4" w:space="0"/>
            </w:tcBorders>
            <w:shd w:val="clear" w:color="auto" w:fill="auto"/>
          </w:tcPr>
          <w:p w14:paraId="61ADA341">
            <w:pPr>
              <w:widowControl/>
              <w:spacing w:line="570" w:lineRule="exact"/>
              <w:jc w:val="left"/>
              <w:rPr>
                <w:rFonts w:ascii="宋体" w:hAnsi="宋体" w:eastAsia="宋体" w:cs="Times New Roman"/>
                <w:color w:val="000000"/>
                <w:kern w:val="0"/>
                <w:szCs w:val="21"/>
              </w:rPr>
            </w:pPr>
            <w:r>
              <w:rPr>
                <w:rFonts w:ascii="宋体" w:hAnsi="宋体" w:eastAsia="宋体" w:cs="Times New Roman"/>
                <w:color w:val="000000"/>
                <w:kern w:val="0"/>
                <w:szCs w:val="21"/>
              </w:rPr>
              <w:t>4</w:t>
            </w:r>
            <w:r>
              <w:rPr>
                <w:rFonts w:ascii="宋体" w:hAnsi="宋体" w:eastAsia="宋体" w:cs="Times New Roman"/>
                <w:color w:val="000000"/>
                <w:kern w:val="0"/>
                <w:szCs w:val="21"/>
              </w:rPr>
              <w:br w:type="textWrapping"/>
            </w:r>
            <w:r>
              <w:rPr>
                <w:rFonts w:hint="eastAsia" w:ascii="宋体" w:hAnsi="宋体" w:eastAsia="宋体" w:cs="Times New Roman"/>
                <w:color w:val="000000"/>
                <w:kern w:val="0"/>
                <w:szCs w:val="21"/>
              </w:rPr>
              <w:t xml:space="preserve">                                    自评分数：</w:t>
            </w:r>
          </w:p>
        </w:tc>
        <w:tc>
          <w:tcPr>
            <w:tcW w:w="1180" w:type="dxa"/>
            <w:tcBorders>
              <w:top w:val="nil"/>
              <w:left w:val="single" w:color="auto" w:sz="4" w:space="0"/>
              <w:bottom w:val="single" w:color="auto" w:sz="4" w:space="0"/>
              <w:right w:val="single" w:color="auto" w:sz="4" w:space="0"/>
            </w:tcBorders>
            <w:shd w:val="clear" w:color="auto" w:fill="auto"/>
            <w:vAlign w:val="center"/>
          </w:tcPr>
          <w:p w14:paraId="7A813222">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　</w:t>
            </w:r>
          </w:p>
        </w:tc>
        <w:tc>
          <w:tcPr>
            <w:tcW w:w="2901" w:type="dxa"/>
            <w:vMerge w:val="continue"/>
            <w:tcBorders>
              <w:left w:val="single" w:color="auto" w:sz="4" w:space="0"/>
              <w:bottom w:val="nil"/>
              <w:right w:val="single" w:color="auto" w:sz="4" w:space="0"/>
            </w:tcBorders>
            <w:shd w:val="clear" w:color="auto" w:fill="auto"/>
            <w:vAlign w:val="center"/>
          </w:tcPr>
          <w:p w14:paraId="0E5C12CD">
            <w:pPr>
              <w:widowControl/>
              <w:spacing w:line="570" w:lineRule="exact"/>
              <w:jc w:val="left"/>
              <w:rPr>
                <w:rFonts w:ascii="宋体" w:hAnsi="宋体" w:eastAsia="宋体" w:cs="宋体"/>
                <w:color w:val="000000"/>
                <w:kern w:val="0"/>
                <w:szCs w:val="21"/>
              </w:rPr>
            </w:pPr>
          </w:p>
        </w:tc>
      </w:tr>
      <w:tr w14:paraId="0F3CC30C">
        <w:tblPrEx>
          <w:tblCellMar>
            <w:top w:w="0" w:type="dxa"/>
            <w:left w:w="108" w:type="dxa"/>
            <w:bottom w:w="0" w:type="dxa"/>
            <w:right w:w="108" w:type="dxa"/>
          </w:tblCellMar>
        </w:tblPrEx>
        <w:trPr>
          <w:trHeight w:val="956" w:hRule="atLeast"/>
        </w:trPr>
        <w:tc>
          <w:tcPr>
            <w:tcW w:w="700" w:type="dxa"/>
            <w:vMerge w:val="continue"/>
            <w:tcBorders>
              <w:left w:val="single" w:color="auto" w:sz="4" w:space="0"/>
              <w:right w:val="single" w:color="auto" w:sz="4" w:space="0"/>
            </w:tcBorders>
            <w:vAlign w:val="center"/>
          </w:tcPr>
          <w:p w14:paraId="709BE02D">
            <w:pPr>
              <w:widowControl/>
              <w:spacing w:line="570" w:lineRule="exact"/>
              <w:jc w:val="left"/>
              <w:rPr>
                <w:rFonts w:ascii="宋体" w:hAnsi="宋体" w:eastAsia="宋体" w:cs="宋体"/>
                <w:color w:val="000000"/>
                <w:kern w:val="0"/>
                <w:sz w:val="22"/>
                <w:szCs w:val="22"/>
              </w:rPr>
            </w:pPr>
          </w:p>
        </w:tc>
        <w:tc>
          <w:tcPr>
            <w:tcW w:w="5420" w:type="dxa"/>
            <w:gridSpan w:val="6"/>
            <w:tcBorders>
              <w:top w:val="single" w:color="auto" w:sz="4" w:space="0"/>
              <w:left w:val="single" w:color="auto" w:sz="4" w:space="0"/>
              <w:bottom w:val="single" w:color="auto" w:sz="4" w:space="0"/>
              <w:right w:val="single" w:color="auto" w:sz="4" w:space="0"/>
            </w:tcBorders>
            <w:shd w:val="clear" w:color="auto" w:fill="auto"/>
          </w:tcPr>
          <w:p w14:paraId="1A37C132">
            <w:pPr>
              <w:widowControl/>
              <w:spacing w:line="570" w:lineRule="exact"/>
              <w:jc w:val="left"/>
              <w:rPr>
                <w:rFonts w:ascii="宋体" w:hAnsi="宋体" w:eastAsia="宋体" w:cs="Times New Roman"/>
                <w:color w:val="000000"/>
                <w:kern w:val="0"/>
                <w:szCs w:val="21"/>
              </w:rPr>
            </w:pPr>
            <w:r>
              <w:rPr>
                <w:rFonts w:ascii="宋体" w:hAnsi="宋体" w:eastAsia="宋体" w:cs="Times New Roman"/>
                <w:color w:val="000000"/>
                <w:kern w:val="0"/>
                <w:szCs w:val="21"/>
              </w:rPr>
              <w:t>5</w:t>
            </w:r>
            <w:r>
              <w:rPr>
                <w:rFonts w:ascii="宋体" w:hAnsi="宋体" w:eastAsia="宋体" w:cs="Times New Roman"/>
                <w:color w:val="000000"/>
                <w:kern w:val="0"/>
                <w:szCs w:val="21"/>
              </w:rPr>
              <w:br w:type="textWrapping"/>
            </w:r>
            <w:r>
              <w:rPr>
                <w:rFonts w:hint="eastAsia" w:ascii="宋体" w:hAnsi="宋体" w:eastAsia="宋体" w:cs="Times New Roman"/>
                <w:color w:val="000000"/>
                <w:kern w:val="0"/>
                <w:szCs w:val="21"/>
              </w:rPr>
              <w:t xml:space="preserve">                                    自评分数：</w:t>
            </w:r>
          </w:p>
        </w:tc>
        <w:tc>
          <w:tcPr>
            <w:tcW w:w="1180" w:type="dxa"/>
            <w:tcBorders>
              <w:top w:val="nil"/>
              <w:left w:val="single" w:color="auto" w:sz="4" w:space="0"/>
              <w:bottom w:val="single" w:color="auto" w:sz="4" w:space="0"/>
              <w:right w:val="single" w:color="auto" w:sz="4" w:space="0"/>
            </w:tcBorders>
            <w:shd w:val="clear" w:color="auto" w:fill="auto"/>
            <w:vAlign w:val="center"/>
          </w:tcPr>
          <w:p w14:paraId="66DA0583">
            <w:pPr>
              <w:widowControl/>
              <w:spacing w:line="570" w:lineRule="exact"/>
              <w:jc w:val="center"/>
              <w:rPr>
                <w:rFonts w:ascii="宋体" w:hAnsi="宋体" w:eastAsia="宋体" w:cs="Times New Roman"/>
                <w:color w:val="000000"/>
                <w:kern w:val="0"/>
                <w:szCs w:val="21"/>
              </w:rPr>
            </w:pPr>
            <w:r>
              <w:rPr>
                <w:rFonts w:ascii="宋体" w:hAnsi="宋体" w:eastAsia="宋体" w:cs="Times New Roman"/>
                <w:color w:val="000000"/>
                <w:kern w:val="0"/>
                <w:szCs w:val="21"/>
              </w:rPr>
              <w:t>　</w:t>
            </w:r>
          </w:p>
        </w:tc>
        <w:tc>
          <w:tcPr>
            <w:tcW w:w="2901" w:type="dxa"/>
            <w:vMerge w:val="continue"/>
            <w:tcBorders>
              <w:left w:val="single" w:color="auto" w:sz="4" w:space="0"/>
              <w:bottom w:val="nil"/>
              <w:right w:val="single" w:color="auto" w:sz="4" w:space="0"/>
            </w:tcBorders>
            <w:vAlign w:val="center"/>
          </w:tcPr>
          <w:p w14:paraId="3CC05425">
            <w:pPr>
              <w:widowControl/>
              <w:spacing w:line="570" w:lineRule="exact"/>
              <w:jc w:val="left"/>
              <w:rPr>
                <w:rFonts w:ascii="宋体" w:hAnsi="宋体" w:eastAsia="宋体" w:cs="宋体"/>
                <w:color w:val="000000"/>
                <w:kern w:val="0"/>
                <w:szCs w:val="21"/>
              </w:rPr>
            </w:pPr>
          </w:p>
        </w:tc>
      </w:tr>
      <w:tr w14:paraId="6E3F6927">
        <w:tblPrEx>
          <w:tblCellMar>
            <w:top w:w="0" w:type="dxa"/>
            <w:left w:w="108" w:type="dxa"/>
            <w:bottom w:w="0" w:type="dxa"/>
            <w:right w:w="108" w:type="dxa"/>
          </w:tblCellMar>
        </w:tblPrEx>
        <w:trPr>
          <w:trHeight w:val="956" w:hRule="atLeast"/>
        </w:trPr>
        <w:tc>
          <w:tcPr>
            <w:tcW w:w="700" w:type="dxa"/>
            <w:vMerge w:val="continue"/>
            <w:tcBorders>
              <w:left w:val="single" w:color="auto" w:sz="4" w:space="0"/>
              <w:bottom w:val="single" w:color="000000" w:sz="4" w:space="0"/>
              <w:right w:val="single" w:color="auto" w:sz="4" w:space="0"/>
            </w:tcBorders>
            <w:vAlign w:val="center"/>
          </w:tcPr>
          <w:p w14:paraId="7F579861">
            <w:pPr>
              <w:widowControl/>
              <w:spacing w:line="570" w:lineRule="exact"/>
              <w:jc w:val="left"/>
              <w:rPr>
                <w:rFonts w:ascii="宋体" w:hAnsi="宋体" w:eastAsia="宋体" w:cs="宋体"/>
                <w:color w:val="000000"/>
                <w:kern w:val="0"/>
                <w:sz w:val="22"/>
                <w:szCs w:val="22"/>
              </w:rPr>
            </w:pPr>
          </w:p>
        </w:tc>
        <w:tc>
          <w:tcPr>
            <w:tcW w:w="5420" w:type="dxa"/>
            <w:gridSpan w:val="6"/>
            <w:tcBorders>
              <w:top w:val="single" w:color="auto" w:sz="4" w:space="0"/>
              <w:left w:val="single" w:color="auto" w:sz="4" w:space="0"/>
              <w:bottom w:val="single" w:color="auto" w:sz="4" w:space="0"/>
              <w:right w:val="single" w:color="auto" w:sz="4" w:space="0"/>
            </w:tcBorders>
            <w:shd w:val="clear" w:color="auto" w:fill="auto"/>
          </w:tcPr>
          <w:p w14:paraId="417E23DD">
            <w:pPr>
              <w:widowControl/>
              <w:spacing w:line="570" w:lineRule="exact"/>
              <w:jc w:val="left"/>
              <w:rPr>
                <w:rFonts w:ascii="宋体" w:hAnsi="宋体" w:eastAsia="宋体" w:cs="Times New Roman"/>
                <w:color w:val="000000"/>
                <w:kern w:val="0"/>
                <w:szCs w:val="21"/>
              </w:rPr>
            </w:pPr>
            <w:r>
              <w:rPr>
                <w:rFonts w:ascii="宋体" w:hAnsi="宋体" w:eastAsia="宋体" w:cs="Times New Roman"/>
                <w:color w:val="000000"/>
                <w:kern w:val="0"/>
                <w:szCs w:val="21"/>
              </w:rPr>
              <w:t>6</w:t>
            </w:r>
            <w:r>
              <w:rPr>
                <w:rFonts w:ascii="宋体" w:hAnsi="宋体" w:eastAsia="宋体" w:cs="Times New Roman"/>
                <w:color w:val="000000"/>
                <w:kern w:val="0"/>
                <w:szCs w:val="21"/>
              </w:rPr>
              <w:br w:type="textWrapping"/>
            </w:r>
            <w:r>
              <w:rPr>
                <w:rFonts w:hint="eastAsia" w:ascii="宋体" w:hAnsi="宋体" w:eastAsia="宋体" w:cs="Times New Roman"/>
                <w:color w:val="000000"/>
                <w:kern w:val="0"/>
                <w:szCs w:val="21"/>
              </w:rPr>
              <w:t xml:space="preserve">                                    自评分数：</w:t>
            </w:r>
          </w:p>
        </w:tc>
        <w:tc>
          <w:tcPr>
            <w:tcW w:w="1180" w:type="dxa"/>
            <w:tcBorders>
              <w:top w:val="nil"/>
              <w:left w:val="single" w:color="auto" w:sz="4" w:space="0"/>
              <w:bottom w:val="single" w:color="auto" w:sz="4" w:space="0"/>
              <w:right w:val="single" w:color="auto" w:sz="4" w:space="0"/>
            </w:tcBorders>
            <w:shd w:val="clear" w:color="auto" w:fill="auto"/>
            <w:vAlign w:val="center"/>
          </w:tcPr>
          <w:p w14:paraId="637D0260">
            <w:pPr>
              <w:widowControl/>
              <w:spacing w:line="570" w:lineRule="exact"/>
              <w:jc w:val="center"/>
              <w:rPr>
                <w:rFonts w:ascii="宋体" w:hAnsi="宋体" w:eastAsia="宋体" w:cs="Times New Roman"/>
                <w:color w:val="000000"/>
                <w:kern w:val="0"/>
                <w:szCs w:val="21"/>
              </w:rPr>
            </w:pPr>
          </w:p>
        </w:tc>
        <w:tc>
          <w:tcPr>
            <w:tcW w:w="2901" w:type="dxa"/>
            <w:tcBorders>
              <w:left w:val="single" w:color="auto" w:sz="4" w:space="0"/>
              <w:bottom w:val="nil"/>
              <w:right w:val="single" w:color="auto" w:sz="4" w:space="0"/>
            </w:tcBorders>
            <w:vAlign w:val="center"/>
          </w:tcPr>
          <w:p w14:paraId="6FF54753">
            <w:pPr>
              <w:widowControl/>
              <w:spacing w:line="570" w:lineRule="exact"/>
              <w:jc w:val="left"/>
              <w:rPr>
                <w:rFonts w:ascii="宋体" w:hAnsi="宋体" w:eastAsia="宋体" w:cs="宋体"/>
                <w:color w:val="000000"/>
                <w:kern w:val="0"/>
                <w:szCs w:val="21"/>
              </w:rPr>
            </w:pPr>
          </w:p>
        </w:tc>
      </w:tr>
      <w:tr w14:paraId="38CB6AC6">
        <w:tblPrEx>
          <w:tblCellMar>
            <w:top w:w="0" w:type="dxa"/>
            <w:left w:w="108" w:type="dxa"/>
            <w:bottom w:w="0" w:type="dxa"/>
            <w:right w:w="108" w:type="dxa"/>
          </w:tblCellMar>
        </w:tblPrEx>
        <w:trPr>
          <w:trHeight w:val="570" w:hRule="atLeast"/>
        </w:trPr>
        <w:tc>
          <w:tcPr>
            <w:tcW w:w="708" w:type="dxa"/>
            <w:gridSpan w:val="2"/>
            <w:vMerge w:val="restart"/>
            <w:tcBorders>
              <w:left w:val="single" w:color="auto" w:sz="4" w:space="0"/>
              <w:right w:val="single" w:color="auto" w:sz="4" w:space="0"/>
            </w:tcBorders>
            <w:shd w:val="clear" w:color="auto" w:fill="auto"/>
            <w:vAlign w:val="center"/>
          </w:tcPr>
          <w:p w14:paraId="5DB3A4AA">
            <w:pPr>
              <w:widowControl/>
              <w:spacing w:line="570" w:lineRule="exact"/>
              <w:rPr>
                <w:rFonts w:ascii="宋体" w:hAnsi="宋体" w:eastAsia="宋体" w:cs="宋体"/>
                <w:color w:val="000000"/>
                <w:kern w:val="0"/>
                <w:szCs w:val="21"/>
              </w:rPr>
            </w:pPr>
          </w:p>
        </w:tc>
        <w:tc>
          <w:tcPr>
            <w:tcW w:w="541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74B16F">
            <w:pPr>
              <w:spacing w:line="570" w:lineRule="exact"/>
              <w:ind w:left="-113" w:leftChars="-54" w:firstLine="2"/>
              <w:jc w:val="center"/>
              <w:rPr>
                <w:rFonts w:ascii="宋体" w:hAnsi="宋体" w:eastAsia="宋体" w:cs="宋体"/>
                <w:color w:val="000000"/>
                <w:kern w:val="0"/>
                <w:szCs w:val="21"/>
              </w:rPr>
            </w:pPr>
            <w:r>
              <w:rPr>
                <w:rFonts w:hint="eastAsia" w:ascii="宋体" w:hAnsi="宋体" w:eastAsia="宋体" w:cs="宋体"/>
                <w:b/>
                <w:bCs/>
                <w:color w:val="000000"/>
                <w:kern w:val="0"/>
                <w:sz w:val="22"/>
                <w:szCs w:val="22"/>
              </w:rPr>
              <w:t xml:space="preserve">合 </w:t>
            </w:r>
            <w:r>
              <w:rPr>
                <w:rFonts w:ascii="宋体" w:hAnsi="宋体" w:eastAsia="宋体" w:cs="宋体"/>
                <w:b/>
                <w:bCs/>
                <w:color w:val="000000"/>
                <w:kern w:val="0"/>
                <w:sz w:val="22"/>
                <w:szCs w:val="22"/>
              </w:rPr>
              <w:t xml:space="preserve">       </w:t>
            </w:r>
            <w:r>
              <w:rPr>
                <w:rFonts w:hint="eastAsia" w:ascii="宋体" w:hAnsi="宋体" w:eastAsia="宋体" w:cs="宋体"/>
                <w:b/>
                <w:bCs/>
                <w:color w:val="000000"/>
                <w:kern w:val="0"/>
                <w:sz w:val="22"/>
                <w:szCs w:val="22"/>
              </w:rPr>
              <w:t>计</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651B88EE">
            <w:pPr>
              <w:widowControl/>
              <w:spacing w:line="57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01" w:type="dxa"/>
            <w:vMerge w:val="restart"/>
            <w:tcBorders>
              <w:top w:val="nil"/>
              <w:left w:val="single" w:color="auto" w:sz="4" w:space="0"/>
              <w:bottom w:val="single" w:color="auto" w:sz="4" w:space="0"/>
              <w:right w:val="single" w:color="auto" w:sz="4" w:space="0"/>
            </w:tcBorders>
            <w:shd w:val="clear" w:color="auto" w:fill="auto"/>
            <w:vAlign w:val="center"/>
          </w:tcPr>
          <w:p w14:paraId="69C49FC0">
            <w:pPr>
              <w:widowControl/>
              <w:spacing w:line="570" w:lineRule="exact"/>
              <w:jc w:val="left"/>
              <w:rPr>
                <w:rFonts w:ascii="宋体" w:hAnsi="宋体" w:eastAsia="宋体" w:cs="宋体"/>
                <w:color w:val="000000"/>
                <w:kern w:val="0"/>
                <w:szCs w:val="21"/>
              </w:rPr>
            </w:pPr>
          </w:p>
        </w:tc>
      </w:tr>
      <w:tr w14:paraId="46FC51D3">
        <w:tblPrEx>
          <w:tblCellMar>
            <w:top w:w="0" w:type="dxa"/>
            <w:left w:w="108" w:type="dxa"/>
            <w:bottom w:w="0" w:type="dxa"/>
            <w:right w:w="108" w:type="dxa"/>
          </w:tblCellMar>
        </w:tblPrEx>
        <w:trPr>
          <w:trHeight w:val="570" w:hRule="atLeast"/>
        </w:trPr>
        <w:tc>
          <w:tcPr>
            <w:tcW w:w="708" w:type="dxa"/>
            <w:gridSpan w:val="2"/>
            <w:vMerge w:val="continue"/>
            <w:tcBorders>
              <w:left w:val="single" w:color="auto" w:sz="4" w:space="0"/>
              <w:bottom w:val="single" w:color="auto" w:sz="4" w:space="0"/>
              <w:right w:val="single" w:color="auto" w:sz="4" w:space="0"/>
            </w:tcBorders>
            <w:vAlign w:val="center"/>
          </w:tcPr>
          <w:p w14:paraId="06FBC421">
            <w:pPr>
              <w:widowControl/>
              <w:spacing w:line="570" w:lineRule="exact"/>
              <w:jc w:val="left"/>
              <w:rPr>
                <w:rFonts w:ascii="宋体" w:hAnsi="宋体" w:eastAsia="宋体" w:cs="宋体"/>
                <w:color w:val="000000"/>
                <w:kern w:val="0"/>
                <w:szCs w:val="21"/>
              </w:rPr>
            </w:pPr>
          </w:p>
        </w:tc>
        <w:tc>
          <w:tcPr>
            <w:tcW w:w="5412" w:type="dxa"/>
            <w:gridSpan w:val="5"/>
            <w:vMerge w:val="continue"/>
            <w:tcBorders>
              <w:top w:val="single" w:color="auto" w:sz="4" w:space="0"/>
              <w:left w:val="single" w:color="auto" w:sz="4" w:space="0"/>
              <w:bottom w:val="single" w:color="auto" w:sz="4" w:space="0"/>
              <w:right w:val="single" w:color="auto" w:sz="4" w:space="0"/>
            </w:tcBorders>
            <w:vAlign w:val="center"/>
          </w:tcPr>
          <w:p w14:paraId="4B00F625">
            <w:pPr>
              <w:widowControl/>
              <w:spacing w:line="570" w:lineRule="exact"/>
              <w:jc w:val="left"/>
              <w:rPr>
                <w:rFonts w:ascii="宋体" w:hAnsi="宋体" w:eastAsia="宋体" w:cs="宋体"/>
                <w:color w:val="000000"/>
                <w:kern w:val="0"/>
                <w:szCs w:val="21"/>
              </w:rPr>
            </w:pPr>
          </w:p>
        </w:tc>
        <w:tc>
          <w:tcPr>
            <w:tcW w:w="1180" w:type="dxa"/>
            <w:vMerge w:val="continue"/>
            <w:tcBorders>
              <w:top w:val="nil"/>
              <w:left w:val="single" w:color="auto" w:sz="4" w:space="0"/>
              <w:bottom w:val="single" w:color="auto" w:sz="4" w:space="0"/>
              <w:right w:val="single" w:color="auto" w:sz="4" w:space="0"/>
            </w:tcBorders>
            <w:vAlign w:val="center"/>
          </w:tcPr>
          <w:p w14:paraId="64AF9EE7">
            <w:pPr>
              <w:widowControl/>
              <w:spacing w:line="570" w:lineRule="exact"/>
              <w:jc w:val="left"/>
              <w:rPr>
                <w:rFonts w:ascii="宋体" w:hAnsi="宋体" w:eastAsia="宋体" w:cs="宋体"/>
                <w:color w:val="000000"/>
                <w:kern w:val="0"/>
                <w:szCs w:val="21"/>
              </w:rPr>
            </w:pPr>
          </w:p>
        </w:tc>
        <w:tc>
          <w:tcPr>
            <w:tcW w:w="2901" w:type="dxa"/>
            <w:vMerge w:val="continue"/>
            <w:tcBorders>
              <w:top w:val="nil"/>
              <w:left w:val="single" w:color="auto" w:sz="4" w:space="0"/>
              <w:bottom w:val="single" w:color="auto" w:sz="4" w:space="0"/>
              <w:right w:val="single" w:color="auto" w:sz="4" w:space="0"/>
            </w:tcBorders>
            <w:vAlign w:val="center"/>
          </w:tcPr>
          <w:p w14:paraId="4E82383A">
            <w:pPr>
              <w:widowControl/>
              <w:spacing w:line="570" w:lineRule="exact"/>
              <w:jc w:val="left"/>
              <w:rPr>
                <w:rFonts w:ascii="宋体" w:hAnsi="宋体" w:eastAsia="宋体" w:cs="宋体"/>
                <w:color w:val="000000"/>
                <w:kern w:val="0"/>
                <w:szCs w:val="21"/>
              </w:rPr>
            </w:pPr>
          </w:p>
        </w:tc>
      </w:tr>
    </w:tbl>
    <w:p w14:paraId="50BFBB8D">
      <w:pPr>
        <w:widowControl/>
        <w:adjustRightInd w:val="0"/>
        <w:snapToGrid w:val="0"/>
        <w:spacing w:before="100" w:beforeAutospacing="1" w:after="100" w:afterAutospacing="1" w:line="570" w:lineRule="exact"/>
        <w:jc w:val="center"/>
        <w:rPr>
          <w:rFonts w:ascii="宋体" w:hAnsi="宋体" w:eastAsia="宋体" w:cs="宋体"/>
          <w:bCs/>
          <w:kern w:val="0"/>
          <w:sz w:val="28"/>
          <w:szCs w:val="28"/>
        </w:rPr>
      </w:pPr>
      <w:r>
        <w:drawing>
          <wp:anchor distT="0" distB="0" distL="114300" distR="114300" simplePos="0" relativeHeight="251659264" behindDoc="0" locked="0" layoutInCell="1" allowOverlap="1">
            <wp:simplePos x="0" y="0"/>
            <wp:positionH relativeFrom="column">
              <wp:posOffset>-1905635</wp:posOffset>
            </wp:positionH>
            <wp:positionV relativeFrom="paragraph">
              <wp:posOffset>3279775</wp:posOffset>
            </wp:positionV>
            <wp:extent cx="0" cy="0"/>
            <wp:effectExtent l="0" t="0" r="0" b="0"/>
            <wp:wrapNone/>
            <wp:docPr id="1" name="墨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墨迹 1"/>
                    <pic:cNvPicPr>
                      <a:picLocks noChangeAspect="1"/>
                    </pic:cNvPicPr>
                  </pic:nvPicPr>
                  <pic:blipFill>
                    <a:blip r:embed="rId5"/>
                    <a:stretch>
                      <a:fillRect/>
                    </a:stretch>
                  </pic:blipFill>
                  <pic:spPr>
                    <a:xfrm>
                      <a:off x="0" y="0"/>
                      <a:ext cx="0" cy="0"/>
                    </a:xfrm>
                    <a:prstGeom prst="rect">
                      <a:avLst/>
                    </a:prstGeom>
                    <a:noFill/>
                    <a:ln>
                      <a:noFill/>
                    </a:ln>
                  </pic:spPr>
                </pic:pic>
              </a:graphicData>
            </a:graphic>
          </wp:anchor>
        </w:drawing>
      </w:r>
      <w:r>
        <w:rPr>
          <w:rFonts w:hint="eastAsia" w:ascii="宋体" w:hAnsi="宋体" w:eastAsia="宋体" w:cs="宋体"/>
          <w:bCs/>
          <w:kern w:val="0"/>
          <w:sz w:val="28"/>
          <w:szCs w:val="28"/>
        </w:rPr>
        <w:t>专业：____________ 学号：____________姓名：__________</w:t>
      </w:r>
    </w:p>
    <w:p w14:paraId="62852E7C">
      <w:pPr>
        <w:spacing w:line="240" w:lineRule="exact"/>
        <w:rPr>
          <w:rFonts w:ascii="宋体" w:hAnsi="宋体" w:eastAsia="宋体"/>
          <w:sz w:val="20"/>
          <w:szCs w:val="20"/>
        </w:rPr>
      </w:pPr>
      <w:r>
        <w:rPr>
          <w:rFonts w:hint="eastAsia" w:ascii="宋体" w:hAnsi="宋体" w:eastAsia="宋体"/>
          <w:sz w:val="20"/>
          <w:szCs w:val="20"/>
        </w:rPr>
        <w:t>备注：</w:t>
      </w:r>
    </w:p>
    <w:p w14:paraId="52E9687E">
      <w:pPr>
        <w:pStyle w:val="7"/>
        <w:numPr>
          <w:ilvl w:val="0"/>
          <w:numId w:val="1"/>
        </w:numPr>
        <w:spacing w:line="240" w:lineRule="exact"/>
        <w:ind w:firstLineChars="0"/>
        <w:rPr>
          <w:rFonts w:ascii="宋体" w:hAnsi="宋体" w:eastAsia="宋体"/>
          <w:sz w:val="20"/>
          <w:szCs w:val="20"/>
        </w:rPr>
      </w:pPr>
      <w:r>
        <w:rPr>
          <w:rFonts w:hint="eastAsia" w:ascii="宋体" w:hAnsi="宋体" w:eastAsia="宋体"/>
          <w:sz w:val="20"/>
          <w:szCs w:val="20"/>
        </w:rPr>
        <w:t>成果自评和测评依据相应年级的学位授予成果要求;</w:t>
      </w:r>
    </w:p>
    <w:p w14:paraId="5EEEB79E">
      <w:pPr>
        <w:pStyle w:val="7"/>
        <w:numPr>
          <w:ilvl w:val="0"/>
          <w:numId w:val="1"/>
        </w:numPr>
        <w:spacing w:line="240" w:lineRule="exact"/>
        <w:ind w:firstLineChars="0"/>
        <w:rPr>
          <w:rFonts w:ascii="宋体" w:hAnsi="宋体" w:eastAsia="宋体"/>
          <w:sz w:val="20"/>
          <w:szCs w:val="20"/>
        </w:rPr>
      </w:pPr>
      <w:r>
        <w:rPr>
          <w:rFonts w:hint="eastAsia" w:ascii="宋体" w:hAnsi="宋体" w:eastAsia="宋体"/>
          <w:sz w:val="20"/>
          <w:szCs w:val="20"/>
        </w:rPr>
        <w:t>研究生期间，已获得国家奖学金的，成果不能重复使用；</w:t>
      </w:r>
    </w:p>
    <w:p w14:paraId="1BDCBF91">
      <w:pPr>
        <w:pStyle w:val="7"/>
        <w:numPr>
          <w:ilvl w:val="0"/>
          <w:numId w:val="1"/>
        </w:numPr>
        <w:spacing w:line="240" w:lineRule="exact"/>
        <w:ind w:firstLineChars="0"/>
        <w:rPr>
          <w:rFonts w:ascii="宋体" w:hAnsi="宋体" w:eastAsia="宋体"/>
          <w:sz w:val="20"/>
          <w:szCs w:val="20"/>
        </w:rPr>
      </w:pPr>
      <w:r>
        <w:rPr>
          <w:rFonts w:hint="eastAsia" w:ascii="宋体" w:hAnsi="宋体" w:eastAsia="宋体"/>
          <w:sz w:val="20"/>
          <w:szCs w:val="20"/>
        </w:rPr>
        <w:t>测评总分相同时，优先考虑科研成果分较高者；</w:t>
      </w:r>
    </w:p>
    <w:p w14:paraId="1E3DBCDA">
      <w:pPr>
        <w:pStyle w:val="7"/>
        <w:numPr>
          <w:ilvl w:val="0"/>
          <w:numId w:val="1"/>
        </w:numPr>
        <w:spacing w:line="240" w:lineRule="exact"/>
        <w:ind w:firstLineChars="0"/>
        <w:rPr>
          <w:rFonts w:ascii="宋体" w:hAnsi="宋体" w:eastAsia="宋体"/>
          <w:sz w:val="20"/>
          <w:szCs w:val="20"/>
        </w:rPr>
      </w:pPr>
      <w:r>
        <w:rPr>
          <w:rFonts w:hint="eastAsia" w:ascii="宋体" w:hAnsi="宋体" w:eastAsia="宋体"/>
          <w:sz w:val="20"/>
          <w:szCs w:val="20"/>
        </w:rPr>
        <w:t>对于《上海海事大学研究生学位授予成果要求》中规定的A类、B类学术论文成果，如不能提供收录证明单篇分值按降两档计分。</w:t>
      </w:r>
    </w:p>
    <w:sectPr>
      <w:pgSz w:w="11900" w:h="16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7996981"/>
    </w:sdtPr>
    <w:sdtEndPr>
      <w:rPr>
        <w:rFonts w:ascii="宋体" w:hAnsi="宋体" w:eastAsia="宋体"/>
        <w:sz w:val="28"/>
        <w:szCs w:val="28"/>
      </w:rPr>
    </w:sdtEndPr>
    <w:sdtContent>
      <w:p w14:paraId="38A3883F">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p>
    </w:sdtContent>
  </w:sdt>
  <w:p w14:paraId="38A3884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030E57"/>
    <w:multiLevelType w:val="multilevel"/>
    <w:tmpl w:val="6F030E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3384F"/>
    <w:rsid w:val="000131C6"/>
    <w:rsid w:val="00045E40"/>
    <w:rsid w:val="000560F4"/>
    <w:rsid w:val="00061FB0"/>
    <w:rsid w:val="00067604"/>
    <w:rsid w:val="00077D58"/>
    <w:rsid w:val="00095935"/>
    <w:rsid w:val="000B339D"/>
    <w:rsid w:val="000E3BE3"/>
    <w:rsid w:val="00106779"/>
    <w:rsid w:val="00107CF8"/>
    <w:rsid w:val="00122B25"/>
    <w:rsid w:val="001267D2"/>
    <w:rsid w:val="00190B6F"/>
    <w:rsid w:val="001911D3"/>
    <w:rsid w:val="00196C47"/>
    <w:rsid w:val="001A0881"/>
    <w:rsid w:val="001B5292"/>
    <w:rsid w:val="001B7566"/>
    <w:rsid w:val="001E501E"/>
    <w:rsid w:val="0023634C"/>
    <w:rsid w:val="00243477"/>
    <w:rsid w:val="00263DD4"/>
    <w:rsid w:val="00277A14"/>
    <w:rsid w:val="002831FE"/>
    <w:rsid w:val="0028331B"/>
    <w:rsid w:val="00293FB7"/>
    <w:rsid w:val="002A23B2"/>
    <w:rsid w:val="002B6900"/>
    <w:rsid w:val="002B757D"/>
    <w:rsid w:val="002C4D03"/>
    <w:rsid w:val="002C5319"/>
    <w:rsid w:val="002D6183"/>
    <w:rsid w:val="002F68A3"/>
    <w:rsid w:val="00312890"/>
    <w:rsid w:val="0032102D"/>
    <w:rsid w:val="00326B9A"/>
    <w:rsid w:val="00334B76"/>
    <w:rsid w:val="00337AB0"/>
    <w:rsid w:val="00357EC9"/>
    <w:rsid w:val="00360FA9"/>
    <w:rsid w:val="00364E7E"/>
    <w:rsid w:val="00386EAD"/>
    <w:rsid w:val="0039475D"/>
    <w:rsid w:val="003B7019"/>
    <w:rsid w:val="003C0232"/>
    <w:rsid w:val="003C70EA"/>
    <w:rsid w:val="003D7E0D"/>
    <w:rsid w:val="003E5E21"/>
    <w:rsid w:val="003F329A"/>
    <w:rsid w:val="00431E98"/>
    <w:rsid w:val="0044147B"/>
    <w:rsid w:val="00446CBC"/>
    <w:rsid w:val="00473B86"/>
    <w:rsid w:val="00491164"/>
    <w:rsid w:val="00495A1D"/>
    <w:rsid w:val="004B50E3"/>
    <w:rsid w:val="004C1175"/>
    <w:rsid w:val="004C3671"/>
    <w:rsid w:val="005121E0"/>
    <w:rsid w:val="005167FD"/>
    <w:rsid w:val="00526190"/>
    <w:rsid w:val="00533E7F"/>
    <w:rsid w:val="00545AB2"/>
    <w:rsid w:val="00551E13"/>
    <w:rsid w:val="005565A4"/>
    <w:rsid w:val="00560477"/>
    <w:rsid w:val="00562CA8"/>
    <w:rsid w:val="00583AFB"/>
    <w:rsid w:val="00594770"/>
    <w:rsid w:val="005D7175"/>
    <w:rsid w:val="005E018A"/>
    <w:rsid w:val="00612D89"/>
    <w:rsid w:val="00616576"/>
    <w:rsid w:val="00631BCD"/>
    <w:rsid w:val="00632C2E"/>
    <w:rsid w:val="0063384F"/>
    <w:rsid w:val="00641ACF"/>
    <w:rsid w:val="006500CF"/>
    <w:rsid w:val="00660F95"/>
    <w:rsid w:val="006A5884"/>
    <w:rsid w:val="006B4640"/>
    <w:rsid w:val="006D7B6D"/>
    <w:rsid w:val="006E6BA1"/>
    <w:rsid w:val="00700001"/>
    <w:rsid w:val="00702422"/>
    <w:rsid w:val="00702A1F"/>
    <w:rsid w:val="00704BE6"/>
    <w:rsid w:val="007259D3"/>
    <w:rsid w:val="00725BDF"/>
    <w:rsid w:val="00773295"/>
    <w:rsid w:val="0078582E"/>
    <w:rsid w:val="007976B5"/>
    <w:rsid w:val="007D1D97"/>
    <w:rsid w:val="007E11FA"/>
    <w:rsid w:val="007E37EA"/>
    <w:rsid w:val="007F2529"/>
    <w:rsid w:val="00805325"/>
    <w:rsid w:val="00807496"/>
    <w:rsid w:val="0084316B"/>
    <w:rsid w:val="00855BB4"/>
    <w:rsid w:val="00856593"/>
    <w:rsid w:val="00865FA6"/>
    <w:rsid w:val="00874163"/>
    <w:rsid w:val="0087665B"/>
    <w:rsid w:val="00876EF2"/>
    <w:rsid w:val="00887F73"/>
    <w:rsid w:val="008A2AF5"/>
    <w:rsid w:val="008C2205"/>
    <w:rsid w:val="008C288B"/>
    <w:rsid w:val="008C7FFD"/>
    <w:rsid w:val="008D2399"/>
    <w:rsid w:val="008D3D81"/>
    <w:rsid w:val="008E7A75"/>
    <w:rsid w:val="00907B85"/>
    <w:rsid w:val="009745E8"/>
    <w:rsid w:val="0097470E"/>
    <w:rsid w:val="009D5F11"/>
    <w:rsid w:val="009D732E"/>
    <w:rsid w:val="009E4211"/>
    <w:rsid w:val="009E4CAE"/>
    <w:rsid w:val="009E7508"/>
    <w:rsid w:val="009F04BB"/>
    <w:rsid w:val="009F5606"/>
    <w:rsid w:val="009F7D04"/>
    <w:rsid w:val="00A20C1D"/>
    <w:rsid w:val="00A37272"/>
    <w:rsid w:val="00A431CC"/>
    <w:rsid w:val="00A45D32"/>
    <w:rsid w:val="00A8439D"/>
    <w:rsid w:val="00AA0CB3"/>
    <w:rsid w:val="00AB7B99"/>
    <w:rsid w:val="00AE4081"/>
    <w:rsid w:val="00AF1FA4"/>
    <w:rsid w:val="00B2405D"/>
    <w:rsid w:val="00B43E16"/>
    <w:rsid w:val="00B55A5E"/>
    <w:rsid w:val="00B57152"/>
    <w:rsid w:val="00B60576"/>
    <w:rsid w:val="00B64589"/>
    <w:rsid w:val="00B77090"/>
    <w:rsid w:val="00B85A9C"/>
    <w:rsid w:val="00B86268"/>
    <w:rsid w:val="00BA49C4"/>
    <w:rsid w:val="00BB1993"/>
    <w:rsid w:val="00BB23D9"/>
    <w:rsid w:val="00BF0D9C"/>
    <w:rsid w:val="00C10BA0"/>
    <w:rsid w:val="00C27F86"/>
    <w:rsid w:val="00C464D3"/>
    <w:rsid w:val="00C611E3"/>
    <w:rsid w:val="00CF2A2A"/>
    <w:rsid w:val="00CF73F2"/>
    <w:rsid w:val="00D12A01"/>
    <w:rsid w:val="00D12E82"/>
    <w:rsid w:val="00D16BEB"/>
    <w:rsid w:val="00D24869"/>
    <w:rsid w:val="00D31588"/>
    <w:rsid w:val="00D3534F"/>
    <w:rsid w:val="00D5359F"/>
    <w:rsid w:val="00D70B12"/>
    <w:rsid w:val="00D8636C"/>
    <w:rsid w:val="00DC1335"/>
    <w:rsid w:val="00DD0BD7"/>
    <w:rsid w:val="00DD7227"/>
    <w:rsid w:val="00E118CA"/>
    <w:rsid w:val="00E12EFA"/>
    <w:rsid w:val="00E40279"/>
    <w:rsid w:val="00E435A1"/>
    <w:rsid w:val="00E4563A"/>
    <w:rsid w:val="00E544D5"/>
    <w:rsid w:val="00E559BA"/>
    <w:rsid w:val="00E81BF2"/>
    <w:rsid w:val="00E8700A"/>
    <w:rsid w:val="00EC3047"/>
    <w:rsid w:val="00EC5F4B"/>
    <w:rsid w:val="00ED43DE"/>
    <w:rsid w:val="00EF1411"/>
    <w:rsid w:val="00F06B54"/>
    <w:rsid w:val="00F146ED"/>
    <w:rsid w:val="00F50D8C"/>
    <w:rsid w:val="00F663DF"/>
    <w:rsid w:val="00F73912"/>
    <w:rsid w:val="00F8016D"/>
    <w:rsid w:val="00F8084F"/>
    <w:rsid w:val="00F823A8"/>
    <w:rsid w:val="00FF4A80"/>
    <w:rsid w:val="027A76EE"/>
    <w:rsid w:val="0B27418B"/>
    <w:rsid w:val="0DE819AF"/>
    <w:rsid w:val="0F3A7074"/>
    <w:rsid w:val="10615A49"/>
    <w:rsid w:val="11EC08DF"/>
    <w:rsid w:val="15E2762C"/>
    <w:rsid w:val="179A59D6"/>
    <w:rsid w:val="20C95670"/>
    <w:rsid w:val="285048C9"/>
    <w:rsid w:val="2A482A12"/>
    <w:rsid w:val="2AE01F34"/>
    <w:rsid w:val="31CD0B71"/>
    <w:rsid w:val="33022C64"/>
    <w:rsid w:val="3BFA097C"/>
    <w:rsid w:val="3CA377E0"/>
    <w:rsid w:val="418930BE"/>
    <w:rsid w:val="466B45AC"/>
    <w:rsid w:val="47223F30"/>
    <w:rsid w:val="54D758A7"/>
    <w:rsid w:val="595219A0"/>
    <w:rsid w:val="5A6000EC"/>
    <w:rsid w:val="6377272F"/>
    <w:rsid w:val="657A02B4"/>
    <w:rsid w:val="6B9807AF"/>
    <w:rsid w:val="6BF86C61"/>
    <w:rsid w:val="6EE449F0"/>
    <w:rsid w:val="704E2A69"/>
    <w:rsid w:val="70A64653"/>
    <w:rsid w:val="72E90BB3"/>
    <w:rsid w:val="7E894F28"/>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rFonts w:ascii="宋体" w:eastAsia="宋体"/>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字符"/>
    <w:basedOn w:val="6"/>
    <w:link w:val="2"/>
    <w:semiHidden/>
    <w:qFormat/>
    <w:uiPriority w:val="99"/>
    <w:rPr>
      <w:rFonts w:ascii="宋体" w:eastAsia="宋体"/>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fontstyle01"/>
    <w:basedOn w:val="6"/>
    <w:qFormat/>
    <w:uiPriority w:val="0"/>
    <w:rPr>
      <w:rFonts w:hint="eastAsia" w:ascii="仿宋_GB2312" w:eastAsia="仿宋_GB2312"/>
      <w:color w:val="000000"/>
      <w:sz w:val="28"/>
      <w:szCs w:val="2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1454-CCDD-472F-AA9E-76D269F9820C}">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2007</Words>
  <Characters>2270</Characters>
  <Lines>19</Lines>
  <Paragraphs>5</Paragraphs>
  <TotalTime>4</TotalTime>
  <ScaleCrop>false</ScaleCrop>
  <LinksUpToDate>false</LinksUpToDate>
  <CharactersWithSpaces>2521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2023-09-19T09:05:00Z</dcterms:created>
  <dc:creator>loveaimr@sina.cn</dc:creator>
  <cp:lastModifiedBy>Angela涵</cp:lastModifiedBy>
  <cp:lastPrinted>2021-09-24T10:46:00Z</cp:lastPrinted>
  <dcterms:modified xsi:type="dcterms:W3CDTF">2025-09-15T10:28:04Z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049b457aa9457e76cbcf3de5196ac107b16f80d5a7de99acb284dafdd9aba962</vt:lpwstr>
  </property>
  <property fmtid="{D5CDD505-2E9C-101B-9397-08002B2CF9AE}" pid="3" name="KSOTemplateDocerSaveRecord">
    <vt:lpwstr>eyJoZGlkIjoiYWNmYjVjNjQ0MmUzMzIxYTllMTVkNTkwZTFmZmJkN2EifQ==</vt:lpwstr>
  </property>
  <property fmtid="{D5CDD505-2E9C-101B-9397-08002B2CF9AE}" pid="4" name="KSOProductBuildVer">
    <vt:lpwstr>2052-12.1.0.21541</vt:lpwstr>
  </property>
  <property fmtid="{D5CDD505-2E9C-101B-9397-08002B2CF9AE}" pid="5" name="ICV">
    <vt:lpwstr>CCFA70C2A1154694BE0A9176D301ADEE_12</vt:lpwstr>
  </property>
</Properties>
</file>