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B1D44">
      <w:pPr>
        <w:spacing w:line="570" w:lineRule="exact"/>
        <w:jc w:val="center"/>
        <w:rPr>
          <w:rFonts w:hint="eastAsia" w:ascii="方正小标宋简体" w:hAnsi="宋体" w:eastAsia="方正小标宋简体" w:cs="宋体"/>
          <w:bCs/>
          <w:color w:val="auto"/>
          <w:spacing w:val="-1"/>
          <w:sz w:val="44"/>
          <w:szCs w:val="44"/>
        </w:rPr>
      </w:pPr>
      <w:r>
        <w:rPr>
          <w:rFonts w:hint="eastAsia" w:ascii="方正小标宋简体" w:hAnsi="宋体" w:eastAsia="方正小标宋简体" w:cs="宋体"/>
          <w:bCs/>
          <w:color w:val="auto"/>
          <w:spacing w:val="-1"/>
          <w:sz w:val="44"/>
          <w:szCs w:val="44"/>
        </w:rPr>
        <w:t>商船学院</w:t>
      </w:r>
      <w:r>
        <w:rPr>
          <w:rFonts w:hint="eastAsia" w:ascii="方正小标宋简体" w:hAnsi="宋体" w:eastAsia="方正小标宋简体" w:cs="宋体"/>
          <w:bCs/>
          <w:color w:val="auto"/>
          <w:spacing w:val="-32"/>
          <w:sz w:val="44"/>
          <w:szCs w:val="44"/>
        </w:rPr>
        <w:t xml:space="preserve"> </w:t>
      </w:r>
      <w:r>
        <w:rPr>
          <w:rFonts w:hint="eastAsia" w:ascii="方正小标宋简体" w:hAnsi="Times New Roman" w:eastAsia="方正小标宋简体" w:cs="Times New Roman"/>
          <w:bCs/>
          <w:color w:val="auto"/>
          <w:spacing w:val="-1"/>
          <w:sz w:val="44"/>
          <w:szCs w:val="44"/>
          <w:lang w:eastAsia="zh-CN"/>
        </w:rPr>
        <w:t>2026</w:t>
      </w:r>
      <w:r>
        <w:rPr>
          <w:rFonts w:hint="eastAsia" w:ascii="方正小标宋简体" w:hAnsi="宋体" w:eastAsia="方正小标宋简体" w:cs="宋体"/>
          <w:bCs/>
          <w:color w:val="auto"/>
          <w:spacing w:val="-1"/>
          <w:sz w:val="44"/>
          <w:szCs w:val="44"/>
        </w:rPr>
        <w:t>年硕士研究生国家奖学金评审</w:t>
      </w:r>
    </w:p>
    <w:p w14:paraId="060B1D45">
      <w:pPr>
        <w:spacing w:line="570" w:lineRule="exact"/>
        <w:jc w:val="center"/>
        <w:rPr>
          <w:rFonts w:hint="eastAsia" w:ascii="方正小标宋简体" w:hAnsi="宋体" w:eastAsia="方正小标宋简体" w:cs="宋体"/>
          <w:bCs/>
          <w:color w:val="auto"/>
          <w:sz w:val="44"/>
          <w:szCs w:val="44"/>
        </w:rPr>
      </w:pPr>
      <w:r>
        <w:rPr>
          <w:rFonts w:hint="eastAsia" w:ascii="方正小标宋简体" w:hAnsi="宋体" w:eastAsia="方正小标宋简体" w:cs="宋体"/>
          <w:bCs/>
          <w:color w:val="auto"/>
          <w:spacing w:val="-1"/>
          <w:sz w:val="44"/>
          <w:szCs w:val="44"/>
        </w:rPr>
        <w:t>实</w:t>
      </w:r>
      <w:r>
        <w:rPr>
          <w:rFonts w:hint="eastAsia" w:ascii="方正小标宋简体" w:hAnsi="宋体" w:eastAsia="方正小标宋简体" w:cs="宋体"/>
          <w:bCs/>
          <w:color w:val="auto"/>
          <w:sz w:val="44"/>
          <w:szCs w:val="44"/>
        </w:rPr>
        <w:t>施细则</w:t>
      </w:r>
    </w:p>
    <w:p w14:paraId="060B1D46">
      <w:pPr>
        <w:spacing w:before="100" w:beforeAutospacing="1" w:after="100" w:afterAutospacing="1" w:line="570" w:lineRule="exact"/>
        <w:jc w:val="center"/>
        <w:rPr>
          <w:rFonts w:hint="eastAsia" w:ascii="仿宋_GB2312" w:hAnsi="宋体" w:eastAsia="仿宋_GB2312" w:cs="微软雅黑"/>
          <w:color w:val="auto"/>
          <w:sz w:val="32"/>
          <w:szCs w:val="32"/>
        </w:rPr>
      </w:pPr>
      <w:r>
        <w:rPr>
          <w:rFonts w:hint="eastAsia" w:ascii="仿宋_GB2312" w:hAnsi="宋体" w:eastAsia="仿宋_GB2312" w:cs="微软雅黑"/>
          <w:color w:val="auto"/>
          <w:sz w:val="32"/>
          <w:szCs w:val="32"/>
          <w:lang w:eastAsia="zh-CN"/>
        </w:rPr>
        <w:t>2026</w:t>
      </w:r>
      <w:r>
        <w:rPr>
          <w:rFonts w:hint="eastAsia" w:ascii="仿宋_GB2312" w:hAnsi="宋体" w:eastAsia="仿宋_GB2312" w:cs="微软雅黑"/>
          <w:color w:val="auto"/>
          <w:sz w:val="32"/>
          <w:szCs w:val="32"/>
        </w:rPr>
        <w:t>年</w:t>
      </w:r>
      <w:r>
        <w:rPr>
          <w:rFonts w:ascii="仿宋_GB2312" w:hAnsi="宋体" w:eastAsia="仿宋_GB2312" w:cs="微软雅黑"/>
          <w:color w:val="auto"/>
          <w:sz w:val="32"/>
          <w:szCs w:val="32"/>
        </w:rPr>
        <w:t>9</w:t>
      </w:r>
      <w:r>
        <w:rPr>
          <w:rFonts w:hint="eastAsia" w:ascii="仿宋_GB2312" w:hAnsi="宋体" w:eastAsia="仿宋_GB2312" w:cs="微软雅黑"/>
          <w:color w:val="auto"/>
          <w:sz w:val="32"/>
          <w:szCs w:val="32"/>
        </w:rPr>
        <w:t>月</w:t>
      </w:r>
    </w:p>
    <w:p w14:paraId="060B1D47">
      <w:pPr>
        <w:spacing w:line="570" w:lineRule="exact"/>
        <w:ind w:left="39" w:right="251" w:firstLine="632"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pacing w:val="-2"/>
          <w:sz w:val="32"/>
          <w:szCs w:val="32"/>
        </w:rPr>
        <w:t>根据教育部财政部关于印发《普通高等学校研究生国家奖学金评审办法》的通知{教财〔2014〕1号；沪教委财〔2014〕19号}、《上海市普通高等学校学生资助资金管理实施办法》（沪教委规〔2020〕2号）和《上海海事大学研究生奖助学金管理办法》（沪海大研〔2024〕108号）等相关文件精神，以及《关于开展2026年上海海事大学研究生国家奖学金申报评审工作的通知</w:t>
      </w:r>
      <w:r>
        <w:rPr>
          <w:rFonts w:hint="eastAsia" w:ascii="仿宋_GB2312" w:hAnsi="宋体" w:eastAsia="仿宋_GB2312" w:cs="宋体"/>
          <w:color w:val="auto"/>
          <w:sz w:val="32"/>
          <w:szCs w:val="32"/>
        </w:rPr>
        <w:t>》的相关规定</w:t>
      </w:r>
      <w:r>
        <w:rPr>
          <w:rFonts w:hint="eastAsia" w:ascii="仿宋_GB2312" w:hAnsi="宋体" w:eastAsia="仿宋_GB2312" w:cs="宋体"/>
          <w:color w:val="auto"/>
          <w:spacing w:val="-11"/>
          <w:sz w:val="32"/>
          <w:szCs w:val="32"/>
        </w:rPr>
        <w:t>，</w:t>
      </w:r>
      <w:r>
        <w:rPr>
          <w:rFonts w:hint="eastAsia" w:ascii="仿宋_GB2312" w:hAnsi="宋体" w:eastAsia="仿宋_GB2312" w:cs="宋体"/>
          <w:color w:val="auto"/>
          <w:sz w:val="32"/>
          <w:szCs w:val="32"/>
        </w:rPr>
        <w:t>结合商船学院实际情况</w:t>
      </w:r>
      <w:r>
        <w:rPr>
          <w:rFonts w:hint="eastAsia" w:ascii="仿宋_GB2312" w:hAnsi="宋体" w:eastAsia="仿宋_GB2312" w:cs="宋体"/>
          <w:color w:val="auto"/>
          <w:spacing w:val="-11"/>
          <w:sz w:val="32"/>
          <w:szCs w:val="32"/>
        </w:rPr>
        <w:t>，</w:t>
      </w:r>
      <w:r>
        <w:rPr>
          <w:rFonts w:hint="eastAsia" w:ascii="仿宋_GB2312" w:hAnsi="宋体" w:eastAsia="仿宋_GB2312" w:cs="宋体"/>
          <w:color w:val="auto"/>
          <w:sz w:val="32"/>
          <w:szCs w:val="32"/>
        </w:rPr>
        <w:t>制定本实施细则</w:t>
      </w:r>
      <w:r>
        <w:rPr>
          <w:rFonts w:hint="eastAsia" w:ascii="仿宋_GB2312" w:hAnsi="宋体" w:eastAsia="仿宋_GB2312" w:cs="宋体"/>
          <w:color w:val="auto"/>
          <w:spacing w:val="-11"/>
          <w:sz w:val="32"/>
          <w:szCs w:val="32"/>
        </w:rPr>
        <w:t>。</w:t>
      </w:r>
    </w:p>
    <w:p w14:paraId="16DE7020">
      <w:pPr>
        <w:spacing w:line="570" w:lineRule="exact"/>
        <w:ind w:firstLine="639" w:firstLineChars="200"/>
        <w:jc w:val="both"/>
        <w:rPr>
          <w:rFonts w:hint="eastAsia" w:ascii="仿宋_GB2312" w:hAnsi="宋体" w:eastAsia="仿宋_GB2312" w:cs="宋体"/>
          <w:color w:val="auto"/>
          <w:sz w:val="32"/>
          <w:szCs w:val="32"/>
        </w:rPr>
      </w:pPr>
      <w:r>
        <w:rPr>
          <w:rFonts w:hint="eastAsia" w:ascii="仿宋_GB2312" w:hAnsi="宋体" w:eastAsia="仿宋_GB2312" w:cs="宋体"/>
          <w:b/>
          <w:bCs/>
          <w:color w:val="auto"/>
          <w:spacing w:val="-1"/>
          <w:sz w:val="32"/>
          <w:szCs w:val="32"/>
        </w:rPr>
        <w:t>第一条</w:t>
      </w:r>
      <w:r>
        <w:rPr>
          <w:rFonts w:ascii="仿宋_GB2312" w:hAnsi="宋体" w:eastAsia="仿宋_GB2312" w:cs="宋体"/>
          <w:color w:val="auto"/>
          <w:spacing w:val="-6"/>
          <w:sz w:val="32"/>
          <w:szCs w:val="32"/>
        </w:rPr>
        <w:tab/>
      </w:r>
      <w:r>
        <w:rPr>
          <w:rFonts w:ascii="仿宋_GB2312" w:hAnsi="宋体" w:eastAsia="仿宋_GB2312" w:cs="宋体"/>
          <w:color w:val="auto"/>
          <w:spacing w:val="-6"/>
          <w:sz w:val="32"/>
          <w:szCs w:val="32"/>
        </w:rPr>
        <w:t xml:space="preserve"> </w:t>
      </w:r>
      <w:r>
        <w:rPr>
          <w:rFonts w:hint="eastAsia" w:ascii="仿宋_GB2312" w:hAnsi="宋体" w:eastAsia="仿宋_GB2312" w:cs="宋体"/>
          <w:color w:val="auto"/>
          <w:sz w:val="32"/>
          <w:szCs w:val="32"/>
        </w:rPr>
        <w:t>参评对象为商船学院在读的具有中华人民共和国国籍且纳入全国研究生招生计划的基本学制内全日制（非定向）研究生。</w:t>
      </w:r>
    </w:p>
    <w:p w14:paraId="060B1D49">
      <w:pPr>
        <w:spacing w:line="570" w:lineRule="exact"/>
        <w:ind w:firstLine="643" w:firstLineChars="200"/>
        <w:jc w:val="both"/>
        <w:rPr>
          <w:rFonts w:hint="eastAsia" w:ascii="仿宋_GB2312" w:hAnsi="宋体" w:eastAsia="仿宋_GB2312" w:cs="宋体"/>
          <w:color w:val="auto"/>
          <w:sz w:val="32"/>
          <w:szCs w:val="32"/>
        </w:rPr>
      </w:pPr>
      <w:r>
        <w:rPr>
          <w:rFonts w:hint="eastAsia" w:ascii="仿宋_GB2312" w:hAnsi="宋体" w:eastAsia="仿宋_GB2312" w:cs="宋体"/>
          <w:b/>
          <w:bCs/>
          <w:color w:val="auto"/>
          <w:sz w:val="32"/>
          <w:szCs w:val="32"/>
        </w:rPr>
        <w:t>第二条</w:t>
      </w:r>
      <w:r>
        <w:rPr>
          <w:rFonts w:ascii="仿宋_GB2312" w:hAnsi="宋体" w:eastAsia="仿宋_GB2312" w:cs="宋体"/>
          <w:color w:val="auto"/>
          <w:spacing w:val="-1"/>
          <w:sz w:val="32"/>
          <w:szCs w:val="32"/>
        </w:rPr>
        <w:tab/>
      </w:r>
      <w:r>
        <w:rPr>
          <w:rFonts w:ascii="仿宋_GB2312" w:hAnsi="宋体" w:eastAsia="仿宋_GB2312" w:cs="宋体"/>
          <w:color w:val="auto"/>
          <w:spacing w:val="-1"/>
          <w:sz w:val="32"/>
          <w:szCs w:val="32"/>
        </w:rPr>
        <w:t xml:space="preserve"> </w:t>
      </w:r>
      <w:r>
        <w:rPr>
          <w:rFonts w:hint="eastAsia" w:ascii="仿宋_GB2312" w:hAnsi="宋体" w:eastAsia="仿宋_GB2312" w:cs="宋体"/>
          <w:color w:val="auto"/>
          <w:sz w:val="32"/>
          <w:szCs w:val="32"/>
        </w:rPr>
        <w:t>参评研究生的申请条件要求如下</w:t>
      </w:r>
      <w:r>
        <w:rPr>
          <w:rFonts w:hint="eastAsia" w:ascii="仿宋_GB2312" w:hAnsi="宋体" w:eastAsia="仿宋_GB2312" w:cs="宋体"/>
          <w:color w:val="auto"/>
          <w:spacing w:val="-38"/>
          <w:sz w:val="32"/>
          <w:szCs w:val="32"/>
        </w:rPr>
        <w:t>：</w:t>
      </w:r>
    </w:p>
    <w:p w14:paraId="251549E8">
      <w:pPr>
        <w:spacing w:line="570" w:lineRule="exact"/>
        <w:ind w:left="18"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1.热爱社会主义祖国，拥护中国共产党的领导。</w:t>
      </w:r>
    </w:p>
    <w:p w14:paraId="621199AA">
      <w:pPr>
        <w:spacing w:line="570" w:lineRule="exact"/>
        <w:ind w:left="18"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2.遵守宪法和法律，遵守学校规章制度。</w:t>
      </w:r>
    </w:p>
    <w:p w14:paraId="0D92D712">
      <w:pPr>
        <w:spacing w:line="570" w:lineRule="exact"/>
        <w:ind w:left="18"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3.诚实守信，道德品质优良。</w:t>
      </w:r>
    </w:p>
    <w:p w14:paraId="1358C883">
      <w:pPr>
        <w:spacing w:line="570" w:lineRule="exact"/>
        <w:ind w:left="18"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4.学习成绩优异，科研能力突出。有公开发表的高水平学术论文、取得发明专利、获得省部级以上科技奖、获得省部级以上科技竞赛奖项优先。参评科研成果应是以上海海事大学为第一完成单位的科研成果（第一作者）。</w:t>
      </w:r>
    </w:p>
    <w:p w14:paraId="19BCBE79">
      <w:pPr>
        <w:spacing w:line="570" w:lineRule="exact"/>
        <w:ind w:left="18"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5.全面发展，综合能力突出，积极参加各类社会工作、文化活动、社会实践和志愿服务，并取得良好工作业绩。同等条件下，有获得过“优秀学生”“优秀学生干部”“优秀学生党员”“优秀团员”等校级以上荣誉称号的学生优先。</w:t>
      </w:r>
    </w:p>
    <w:p w14:paraId="6E6517D1">
      <w:pPr>
        <w:spacing w:line="570" w:lineRule="exact"/>
        <w:ind w:left="18"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6.对于申请研究生国家奖学金的新生，要求入学成绩或考核评价结果为优秀，并在入学前一年内取得突出成绩。</w:t>
      </w:r>
    </w:p>
    <w:p w14:paraId="26614A97">
      <w:pPr>
        <w:spacing w:line="570" w:lineRule="exact"/>
        <w:ind w:left="18"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7.同行专家推荐：申请国家奖学金的研究生必须要有相关同行专家推荐，要求：硕士研究生须提交1封校外专家推荐信。撰写推荐信的专家必须具有正高职称，对申请者的研究领域要有较深入的了解。</w:t>
      </w:r>
    </w:p>
    <w:p w14:paraId="060B1D50">
      <w:pPr>
        <w:spacing w:line="570" w:lineRule="exact"/>
        <w:ind w:left="52" w:right="389" w:firstLine="643" w:firstLineChars="200"/>
        <w:jc w:val="both"/>
        <w:rPr>
          <w:rFonts w:hint="eastAsia" w:ascii="仿宋_GB2312" w:hAnsi="宋体" w:eastAsia="仿宋_GB2312" w:cs="宋体"/>
          <w:color w:val="auto"/>
          <w:sz w:val="32"/>
          <w:szCs w:val="32"/>
        </w:rPr>
      </w:pPr>
      <w:r>
        <w:rPr>
          <w:rFonts w:hint="eastAsia" w:ascii="仿宋_GB2312" w:hAnsi="宋体" w:eastAsia="仿宋_GB2312" w:cs="宋体"/>
          <w:b/>
          <w:color w:val="auto"/>
          <w:sz w:val="32"/>
          <w:szCs w:val="32"/>
        </w:rPr>
        <w:t>第三条</w:t>
      </w:r>
      <w:r>
        <w:rPr>
          <w:rFonts w:hint="eastAsia" w:ascii="仿宋_GB2312" w:hAnsi="宋体" w:eastAsia="仿宋_GB2312" w:cs="宋体"/>
          <w:bCs/>
          <w:color w:val="auto"/>
          <w:sz w:val="32"/>
          <w:szCs w:val="32"/>
        </w:rPr>
        <w:t xml:space="preserve"> </w:t>
      </w:r>
      <w:r>
        <w:rPr>
          <w:rFonts w:hint="eastAsia" w:ascii="仿宋_GB2312" w:hAnsi="宋体" w:eastAsia="仿宋_GB2312" w:cs="宋体"/>
          <w:color w:val="auto"/>
          <w:sz w:val="32"/>
          <w:szCs w:val="32"/>
        </w:rPr>
        <w:t>研究生出现以下任一情况，不具备当年研究生国家奖学金参评资格</w:t>
      </w:r>
    </w:p>
    <w:p w14:paraId="439E66F1">
      <w:pPr>
        <w:spacing w:line="570" w:lineRule="exact"/>
        <w:ind w:left="52" w:right="389"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1.参评期间违反国家法律、校纪校规受到纪律处分者；</w:t>
      </w:r>
    </w:p>
    <w:p w14:paraId="3F353BB0">
      <w:pPr>
        <w:spacing w:line="570" w:lineRule="exact"/>
        <w:ind w:left="52" w:right="389"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2.参评期间有抄袭剽窃、弄虚作假等学术不端行为经查证属实的；</w:t>
      </w:r>
    </w:p>
    <w:p w14:paraId="5682861C">
      <w:pPr>
        <w:spacing w:line="570" w:lineRule="exact"/>
        <w:ind w:left="52" w:right="389"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3.参评期间有补考或者重修记录者；</w:t>
      </w:r>
    </w:p>
    <w:p w14:paraId="78B4C834">
      <w:pPr>
        <w:spacing w:line="570" w:lineRule="exact"/>
        <w:ind w:left="52" w:right="389"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4.由于出国留学、疾病、创业等原因保留学籍或休学的；</w:t>
      </w:r>
    </w:p>
    <w:p w14:paraId="5E84A803">
      <w:pPr>
        <w:spacing w:line="570" w:lineRule="exact"/>
        <w:ind w:left="52" w:right="389"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5.超出基本学制年限的；</w:t>
      </w:r>
    </w:p>
    <w:p w14:paraId="04CAFDB8">
      <w:pPr>
        <w:spacing w:line="570" w:lineRule="exact"/>
        <w:ind w:left="52" w:right="389"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6.其他不符合申请条件者。</w:t>
      </w:r>
    </w:p>
    <w:p w14:paraId="060B1D58">
      <w:pPr>
        <w:spacing w:line="570" w:lineRule="exact"/>
        <w:ind w:left="38" w:right="55" w:firstLine="643" w:firstLineChars="200"/>
        <w:jc w:val="both"/>
        <w:rPr>
          <w:rFonts w:hint="eastAsia" w:ascii="仿宋_GB2312" w:hAnsi="宋体" w:eastAsia="仿宋_GB2312" w:cs="宋体"/>
          <w:color w:val="auto"/>
          <w:sz w:val="32"/>
          <w:szCs w:val="32"/>
        </w:rPr>
      </w:pPr>
      <w:r>
        <w:rPr>
          <w:rFonts w:hint="eastAsia" w:ascii="仿宋_GB2312" w:hAnsi="宋体" w:eastAsia="仿宋_GB2312" w:cs="宋体"/>
          <w:b/>
          <w:bCs/>
          <w:color w:val="auto"/>
          <w:sz w:val="32"/>
          <w:szCs w:val="32"/>
        </w:rPr>
        <w:t>第四条</w:t>
      </w:r>
      <w:r>
        <w:rPr>
          <w:rFonts w:ascii="仿宋_GB2312" w:hAnsi="宋体" w:eastAsia="仿宋_GB2312" w:cs="宋体"/>
          <w:color w:val="auto"/>
          <w:spacing w:val="-1"/>
          <w:sz w:val="32"/>
          <w:szCs w:val="32"/>
        </w:rPr>
        <w:tab/>
      </w:r>
      <w:r>
        <w:rPr>
          <w:rFonts w:ascii="仿宋_GB2312" w:hAnsi="宋体" w:eastAsia="仿宋_GB2312" w:cs="宋体"/>
          <w:color w:val="auto"/>
          <w:spacing w:val="-1"/>
          <w:sz w:val="32"/>
          <w:szCs w:val="32"/>
        </w:rPr>
        <w:t xml:space="preserve"> </w:t>
      </w:r>
      <w:r>
        <w:rPr>
          <w:rFonts w:hint="eastAsia" w:ascii="仿宋_GB2312" w:hAnsi="宋体" w:eastAsia="仿宋_GB2312" w:cs="宋体"/>
          <w:color w:val="auto"/>
          <w:sz w:val="32"/>
          <w:szCs w:val="32"/>
        </w:rPr>
        <w:t>成立</w:t>
      </w:r>
      <w:r>
        <w:rPr>
          <w:rFonts w:hint="eastAsia" w:ascii="仿宋_GB2312" w:hAnsi="宋体" w:eastAsia="仿宋_GB2312" w:cs="宋体"/>
          <w:color w:val="auto"/>
          <w:sz w:val="32"/>
          <w:szCs w:val="32"/>
        </w:rPr>
        <w:t>商船学院研究生评奖评优领导工作小组</w:t>
      </w:r>
      <w:r>
        <w:rPr>
          <w:rFonts w:hint="eastAsia" w:ascii="仿宋_GB2312" w:hAnsi="宋体" w:eastAsia="仿宋_GB2312" w:cs="宋体"/>
          <w:color w:val="auto"/>
          <w:sz w:val="32"/>
          <w:szCs w:val="32"/>
        </w:rPr>
        <w:t>（以下简称工作小组</w:t>
      </w:r>
      <w:r>
        <w:rPr>
          <w:rFonts w:hint="eastAsia" w:ascii="仿宋_GB2312" w:hAnsi="宋体" w:eastAsia="仿宋_GB2312" w:cs="宋体"/>
          <w:color w:val="auto"/>
          <w:spacing w:val="-47"/>
          <w:sz w:val="32"/>
          <w:szCs w:val="32"/>
        </w:rPr>
        <w:t>），</w:t>
      </w:r>
      <w:r>
        <w:rPr>
          <w:rFonts w:hint="eastAsia" w:ascii="仿宋_GB2312" w:hAnsi="宋体" w:eastAsia="仿宋_GB2312" w:cs="宋体"/>
          <w:color w:val="auto"/>
          <w:spacing w:val="4"/>
          <w:sz w:val="32"/>
          <w:szCs w:val="32"/>
        </w:rPr>
        <w:t>由学院主</w:t>
      </w:r>
      <w:r>
        <w:rPr>
          <w:rFonts w:hint="eastAsia" w:ascii="仿宋_GB2312" w:hAnsi="宋体" w:eastAsia="仿宋_GB2312" w:cs="宋体"/>
          <w:color w:val="auto"/>
          <w:spacing w:val="3"/>
          <w:sz w:val="32"/>
          <w:szCs w:val="32"/>
        </w:rPr>
        <w:t>要领导</w:t>
      </w:r>
      <w:r>
        <w:rPr>
          <w:rFonts w:hint="eastAsia" w:ascii="仿宋_GB2312" w:hAnsi="宋体" w:eastAsia="仿宋_GB2312" w:cs="宋体"/>
          <w:color w:val="auto"/>
          <w:spacing w:val="4"/>
          <w:sz w:val="32"/>
          <w:szCs w:val="32"/>
        </w:rPr>
        <w:t>、</w:t>
      </w:r>
      <w:r>
        <w:rPr>
          <w:rFonts w:hint="eastAsia" w:ascii="仿宋_GB2312" w:hAnsi="宋体" w:eastAsia="仿宋_GB2312" w:cs="宋体"/>
          <w:color w:val="auto"/>
          <w:spacing w:val="3"/>
          <w:sz w:val="32"/>
          <w:szCs w:val="32"/>
        </w:rPr>
        <w:t>学位点负责人及研究生导师代表</w:t>
      </w:r>
      <w:r>
        <w:rPr>
          <w:rFonts w:hint="eastAsia" w:ascii="仿宋_GB2312" w:hAnsi="宋体" w:eastAsia="仿宋_GB2312" w:cs="宋体"/>
          <w:color w:val="auto"/>
          <w:spacing w:val="4"/>
          <w:sz w:val="32"/>
          <w:szCs w:val="32"/>
        </w:rPr>
        <w:t>、</w:t>
      </w:r>
      <w:r>
        <w:rPr>
          <w:rFonts w:hint="eastAsia" w:ascii="仿宋_GB2312" w:hAnsi="宋体" w:eastAsia="仿宋_GB2312" w:cs="宋体"/>
          <w:color w:val="auto"/>
          <w:spacing w:val="3"/>
          <w:sz w:val="32"/>
          <w:szCs w:val="32"/>
        </w:rPr>
        <w:t>行政管理人员和学生代</w:t>
      </w:r>
      <w:r>
        <w:rPr>
          <w:rFonts w:hint="eastAsia" w:ascii="仿宋_GB2312" w:hAnsi="宋体" w:eastAsia="仿宋_GB2312" w:cs="宋体"/>
          <w:color w:val="auto"/>
          <w:sz w:val="32"/>
          <w:szCs w:val="32"/>
        </w:rPr>
        <w:t>表组成</w:t>
      </w:r>
      <w:r>
        <w:rPr>
          <w:rFonts w:hint="eastAsia" w:ascii="仿宋_GB2312" w:hAnsi="宋体" w:eastAsia="仿宋_GB2312" w:cs="宋体"/>
          <w:color w:val="auto"/>
          <w:spacing w:val="-5"/>
          <w:sz w:val="32"/>
          <w:szCs w:val="32"/>
        </w:rPr>
        <w:t>，</w:t>
      </w:r>
      <w:r>
        <w:rPr>
          <w:rFonts w:hint="eastAsia" w:ascii="仿宋_GB2312" w:hAnsi="宋体" w:eastAsia="仿宋_GB2312" w:cs="宋体"/>
          <w:color w:val="auto"/>
          <w:spacing w:val="-140"/>
          <w:sz w:val="32"/>
          <w:szCs w:val="32"/>
        </w:rPr>
        <w:t xml:space="preserve"> </w:t>
      </w:r>
      <w:r>
        <w:rPr>
          <w:rFonts w:hint="eastAsia" w:ascii="仿宋_GB2312" w:hAnsi="宋体" w:eastAsia="仿宋_GB2312" w:cs="宋体"/>
          <w:color w:val="auto"/>
          <w:sz w:val="32"/>
          <w:szCs w:val="32"/>
        </w:rPr>
        <w:t>负责制定商船学院研究生国家奖学金评审实施细则</w:t>
      </w:r>
      <w:r>
        <w:rPr>
          <w:rFonts w:hint="eastAsia" w:ascii="仿宋_GB2312" w:hAnsi="宋体" w:eastAsia="仿宋_GB2312" w:cs="宋体"/>
          <w:color w:val="auto"/>
          <w:spacing w:val="-5"/>
          <w:sz w:val="32"/>
          <w:szCs w:val="32"/>
        </w:rPr>
        <w:t>。</w:t>
      </w:r>
    </w:p>
    <w:p w14:paraId="060B1D59">
      <w:pPr>
        <w:pStyle w:val="11"/>
        <w:shd w:val="clear" w:color="auto" w:fill="FFFFFF"/>
        <w:spacing w:before="0" w:beforeAutospacing="0" w:after="0" w:afterAutospacing="0" w:line="570" w:lineRule="exact"/>
        <w:ind w:firstLine="643" w:firstLineChars="200"/>
        <w:jc w:val="both"/>
        <w:rPr>
          <w:rFonts w:hint="eastAsia" w:ascii="仿宋_GB2312" w:eastAsia="仿宋_GB2312"/>
          <w:snapToGrid w:val="0"/>
          <w:color w:val="auto"/>
          <w:sz w:val="32"/>
          <w:szCs w:val="32"/>
        </w:rPr>
      </w:pPr>
      <w:r>
        <w:rPr>
          <w:rFonts w:hint="eastAsia" w:ascii="仿宋_GB2312" w:eastAsia="仿宋_GB2312"/>
          <w:b/>
          <w:bCs/>
          <w:color w:val="auto"/>
          <w:sz w:val="32"/>
          <w:szCs w:val="32"/>
        </w:rPr>
        <w:t>第五条</w:t>
      </w:r>
      <w:r>
        <w:rPr>
          <w:rFonts w:ascii="仿宋_GB2312" w:eastAsia="仿宋_GB2312"/>
          <w:color w:val="auto"/>
          <w:spacing w:val="-1"/>
          <w:sz w:val="32"/>
          <w:szCs w:val="32"/>
        </w:rPr>
        <w:tab/>
      </w:r>
      <w:r>
        <w:rPr>
          <w:rFonts w:ascii="仿宋_GB2312" w:eastAsia="仿宋_GB2312"/>
          <w:color w:val="auto"/>
          <w:spacing w:val="-1"/>
          <w:sz w:val="32"/>
          <w:szCs w:val="32"/>
        </w:rPr>
        <w:t xml:space="preserve"> </w:t>
      </w:r>
      <w:r>
        <w:rPr>
          <w:rFonts w:hint="eastAsia" w:ascii="仿宋_GB2312" w:eastAsia="仿宋_GB2312"/>
          <w:snapToGrid w:val="0"/>
          <w:color w:val="auto"/>
          <w:sz w:val="32"/>
          <w:szCs w:val="32"/>
        </w:rPr>
        <w:t>评选采用学生本人申请、工作小组组织审核和评审、院内公示、报校审定的方式，研究生在规定时间内提交申请表及相关评选材料包括成果原件和复印件；研究生辅导员负责收集材料。</w:t>
      </w:r>
    </w:p>
    <w:p w14:paraId="324B7DB1">
      <w:pPr>
        <w:spacing w:line="570" w:lineRule="exact"/>
        <w:ind w:left="38" w:right="112" w:firstLine="655" w:firstLineChars="200"/>
        <w:jc w:val="both"/>
        <w:rPr>
          <w:rFonts w:hint="eastAsia" w:ascii="仿宋_GB2312" w:hAnsi="宋体" w:eastAsia="仿宋_GB2312" w:cs="宋体"/>
          <w:color w:val="auto"/>
          <w:sz w:val="32"/>
          <w:szCs w:val="32"/>
          <w:highlight w:val="none"/>
        </w:rPr>
      </w:pPr>
      <w:r>
        <w:rPr>
          <w:rFonts w:hint="eastAsia" w:ascii="仿宋_GB2312" w:hAnsi="宋体" w:eastAsia="仿宋_GB2312" w:cs="宋体"/>
          <w:b/>
          <w:bCs/>
          <w:color w:val="auto"/>
          <w:spacing w:val="3"/>
          <w:sz w:val="32"/>
          <w:szCs w:val="32"/>
        </w:rPr>
        <w:t>第六条</w:t>
      </w:r>
      <w:r>
        <w:rPr>
          <w:rFonts w:hint="eastAsia" w:ascii="仿宋_GB2312" w:hAnsi="宋体" w:eastAsia="仿宋_GB2312" w:cs="宋体"/>
          <w:color w:val="auto"/>
          <w:spacing w:val="2"/>
          <w:sz w:val="32"/>
          <w:szCs w:val="32"/>
        </w:rPr>
        <w:t xml:space="preserve"> </w:t>
      </w:r>
      <w:r>
        <w:rPr>
          <w:rFonts w:hint="eastAsia" w:ascii="仿宋_GB2312" w:hAnsi="宋体" w:eastAsia="仿宋_GB2312" w:cs="宋体"/>
          <w:color w:val="auto"/>
          <w:sz w:val="32"/>
          <w:szCs w:val="32"/>
        </w:rPr>
        <w:t>评审小组负责组织对申请材料进行认定、核实并评分。评分指标包括3个部分：思想道德、课程学习和科研成果，具体如附表所示。</w:t>
      </w:r>
      <w:bookmarkStart w:id="0" w:name="_Hlk145935653"/>
      <w:r>
        <w:rPr>
          <w:rFonts w:hint="eastAsia" w:ascii="仿宋_GB2312" w:hAnsi="宋体" w:eastAsia="仿宋_GB2312" w:cs="宋体"/>
          <w:color w:val="auto"/>
          <w:sz w:val="32"/>
          <w:szCs w:val="32"/>
        </w:rPr>
        <w:t>关于科研成果部分的自评和测评依据《上海海事大学研究生学位授予成果要求（适用于2025级学生）》进行评定</w:t>
      </w:r>
      <w:r>
        <w:rPr>
          <w:rFonts w:hint="eastAsia" w:ascii="仿宋_GB2312" w:hAnsi="宋体" w:eastAsia="仿宋_GB2312" w:cs="宋体"/>
          <w:color w:val="auto"/>
          <w:sz w:val="32"/>
          <w:szCs w:val="32"/>
          <w:lang w:eastAsia="zh-CN"/>
        </w:rPr>
        <w:t>，在近三年《国际期刊预警名单》中的期刊上发表的</w:t>
      </w:r>
      <w:r>
        <w:rPr>
          <w:rFonts w:hint="eastAsia" w:ascii="仿宋_GB2312" w:hAnsi="宋体" w:eastAsia="仿宋_GB2312" w:cs="宋体"/>
          <w:color w:val="auto"/>
          <w:sz w:val="32"/>
          <w:szCs w:val="32"/>
          <w:lang w:val="en-US" w:eastAsia="zh-CN"/>
        </w:rPr>
        <w:t>成果不做认定</w:t>
      </w:r>
      <w:r>
        <w:rPr>
          <w:rFonts w:hint="eastAsia" w:ascii="仿宋_GB2312" w:hAnsi="宋体" w:eastAsia="仿宋_GB2312" w:cs="宋体"/>
          <w:color w:val="auto"/>
          <w:sz w:val="32"/>
          <w:szCs w:val="32"/>
        </w:rPr>
        <w:t>。对于在中国研究生创新实践系列大赛获奖的参评硕土研究生，在评定时参照《上海海事大学研究生学位授予成果要求（适用于2025级学生）》标准</w:t>
      </w:r>
      <w:r>
        <w:rPr>
          <w:rFonts w:hint="eastAsia" w:ascii="仿宋_GB2312" w:hAnsi="宋体" w:eastAsia="仿宋_GB2312" w:cs="宋体"/>
          <w:color w:val="auto"/>
          <w:sz w:val="32"/>
          <w:szCs w:val="32"/>
          <w:highlight w:val="none"/>
        </w:rPr>
        <w:t>翻倍计分。对专业型硕士研究生参加国际交流和产教融合项目的，根据实际情况，适当增加分值。</w:t>
      </w:r>
    </w:p>
    <w:p w14:paraId="68FAD333">
      <w:pPr>
        <w:spacing w:line="570" w:lineRule="exact"/>
        <w:ind w:left="38" w:right="112" w:firstLine="643" w:firstLineChars="200"/>
        <w:jc w:val="both"/>
        <w:rPr>
          <w:rFonts w:hint="eastAsia" w:ascii="仿宋_GB2312" w:hAnsi="宋体" w:eastAsia="仿宋_GB2312" w:cs="宋体"/>
          <w:color w:val="auto"/>
          <w:sz w:val="32"/>
          <w:szCs w:val="32"/>
        </w:rPr>
      </w:pPr>
      <w:r>
        <w:rPr>
          <w:rFonts w:hint="eastAsia" w:ascii="仿宋_GB2312" w:hAnsi="宋体" w:eastAsia="仿宋_GB2312" w:cs="宋体"/>
          <w:b/>
          <w:bCs/>
          <w:color w:val="auto"/>
          <w:sz w:val="32"/>
          <w:szCs w:val="32"/>
          <w:lang w:val="en-US" w:eastAsia="zh-CN"/>
        </w:rPr>
        <w:t>第七条</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rPr>
        <w:t>列入统计范围的成果必须满足以下条件：</w:t>
      </w:r>
    </w:p>
    <w:p w14:paraId="079DAC42">
      <w:pPr>
        <w:spacing w:line="570" w:lineRule="exact"/>
        <w:ind w:left="38" w:right="112" w:firstLine="640" w:firstLineChars="200"/>
        <w:jc w:val="both"/>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1</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rPr>
        <w:t>以“上海海事大学”为第一署名单位且研究生为第一作者，或者研究生为第二作者，且导师是第一作者；</w:t>
      </w:r>
    </w:p>
    <w:p w14:paraId="5C532D66">
      <w:pPr>
        <w:spacing w:line="570" w:lineRule="exact"/>
        <w:ind w:left="38" w:right="112" w:firstLine="640" w:firstLineChars="200"/>
        <w:jc w:val="both"/>
        <w:rPr>
          <w:rFonts w:hint="eastAsia" w:ascii="仿宋_GB2312" w:hAnsi="宋体" w:eastAsia="仿宋_GB2312" w:cs="宋体"/>
          <w:color w:val="auto"/>
          <w:sz w:val="32"/>
          <w:szCs w:val="32"/>
          <w:lang w:eastAsia="zh-CN"/>
        </w:rPr>
      </w:pPr>
      <w:r>
        <w:rPr>
          <w:rFonts w:hint="eastAsia" w:ascii="仿宋_GB2312" w:hAnsi="宋体" w:eastAsia="仿宋_GB2312" w:cs="宋体"/>
          <w:color w:val="auto"/>
          <w:sz w:val="32"/>
          <w:szCs w:val="32"/>
        </w:rPr>
        <w:t>2</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rPr>
        <w:t>凡上一年度提交并已获得国家奖学金推荐资格的科研成果材料，均不能重复使用，一经发现，直接取消其评选资格</w:t>
      </w:r>
      <w:r>
        <w:rPr>
          <w:rFonts w:hint="eastAsia" w:ascii="仿宋_GB2312" w:hAnsi="宋体" w:eastAsia="仿宋_GB2312" w:cs="宋体"/>
          <w:color w:val="auto"/>
          <w:sz w:val="32"/>
          <w:szCs w:val="32"/>
          <w:lang w:eastAsia="zh-CN"/>
        </w:rPr>
        <w:t>。</w:t>
      </w:r>
    </w:p>
    <w:bookmarkEnd w:id="0"/>
    <w:p w14:paraId="060B1D5B">
      <w:pPr>
        <w:spacing w:line="570" w:lineRule="exact"/>
        <w:ind w:left="40" w:right="108" w:firstLine="639" w:firstLineChars="200"/>
        <w:jc w:val="both"/>
        <w:rPr>
          <w:rFonts w:hint="eastAsia" w:ascii="仿宋_GB2312" w:hAnsi="宋体" w:eastAsia="仿宋_GB2312" w:cs="宋体"/>
          <w:color w:val="auto"/>
          <w:spacing w:val="-1"/>
          <w:sz w:val="32"/>
          <w:szCs w:val="32"/>
        </w:rPr>
      </w:pPr>
      <w:r>
        <w:rPr>
          <w:rFonts w:hint="eastAsia" w:ascii="仿宋_GB2312" w:hAnsi="宋体" w:eastAsia="仿宋_GB2312" w:cs="宋体"/>
          <w:b/>
          <w:bCs/>
          <w:color w:val="auto"/>
          <w:spacing w:val="-1"/>
          <w:sz w:val="32"/>
          <w:szCs w:val="32"/>
        </w:rPr>
        <w:t>第</w:t>
      </w:r>
      <w:r>
        <w:rPr>
          <w:rFonts w:hint="eastAsia" w:ascii="仿宋_GB2312" w:hAnsi="宋体" w:eastAsia="仿宋_GB2312" w:cs="宋体"/>
          <w:b/>
          <w:bCs/>
          <w:color w:val="auto"/>
          <w:spacing w:val="-1"/>
          <w:sz w:val="32"/>
          <w:szCs w:val="32"/>
          <w:lang w:val="en-US" w:eastAsia="zh-CN"/>
        </w:rPr>
        <w:t>八</w:t>
      </w:r>
      <w:r>
        <w:rPr>
          <w:rFonts w:hint="eastAsia" w:ascii="仿宋_GB2312" w:hAnsi="宋体" w:eastAsia="仿宋_GB2312" w:cs="宋体"/>
          <w:b/>
          <w:bCs/>
          <w:color w:val="auto"/>
          <w:spacing w:val="-1"/>
          <w:sz w:val="32"/>
          <w:szCs w:val="32"/>
        </w:rPr>
        <w:t>条</w:t>
      </w:r>
      <w:r>
        <w:rPr>
          <w:rFonts w:ascii="仿宋_GB2312" w:hAnsi="宋体" w:eastAsia="仿宋_GB2312" w:cs="宋体"/>
          <w:color w:val="auto"/>
          <w:spacing w:val="-6"/>
          <w:sz w:val="32"/>
          <w:szCs w:val="32"/>
        </w:rPr>
        <w:tab/>
      </w:r>
      <w:r>
        <w:rPr>
          <w:rFonts w:ascii="仿宋_GB2312" w:hAnsi="宋体" w:eastAsia="仿宋_GB2312" w:cs="宋体"/>
          <w:color w:val="auto"/>
          <w:spacing w:val="-6"/>
          <w:sz w:val="32"/>
          <w:szCs w:val="32"/>
        </w:rPr>
        <w:t xml:space="preserve"> </w:t>
      </w:r>
      <w:r>
        <w:rPr>
          <w:rFonts w:hint="eastAsia" w:ascii="仿宋_GB2312" w:hAnsi="宋体" w:eastAsia="仿宋_GB2312" w:cs="宋体"/>
          <w:color w:val="auto"/>
          <w:spacing w:val="-1"/>
          <w:sz w:val="32"/>
          <w:szCs w:val="32"/>
        </w:rPr>
        <w:t>学院共有1</w:t>
      </w:r>
      <w:r>
        <w:rPr>
          <w:rFonts w:hint="eastAsia" w:ascii="仿宋_GB2312" w:hAnsi="宋体" w:eastAsia="仿宋_GB2312" w:cs="宋体"/>
          <w:color w:val="auto"/>
          <w:spacing w:val="-1"/>
          <w:sz w:val="32"/>
          <w:szCs w:val="32"/>
          <w:lang w:val="en-US" w:eastAsia="zh-CN"/>
        </w:rPr>
        <w:t>7</w:t>
      </w:r>
      <w:r>
        <w:rPr>
          <w:rFonts w:hint="eastAsia" w:ascii="仿宋_GB2312" w:hAnsi="宋体" w:eastAsia="仿宋_GB2312" w:cs="宋体"/>
          <w:color w:val="auto"/>
          <w:spacing w:val="-1"/>
          <w:sz w:val="32"/>
          <w:szCs w:val="32"/>
        </w:rPr>
        <w:t>个</w:t>
      </w:r>
      <w:r>
        <w:rPr>
          <w:rFonts w:hint="eastAsia" w:ascii="仿宋_GB2312" w:hAnsi="宋体" w:eastAsia="仿宋_GB2312" w:cs="宋体"/>
          <w:color w:val="auto"/>
          <w:sz w:val="32"/>
          <w:szCs w:val="32"/>
        </w:rPr>
        <w:t>国家奖学金推荐名额</w:t>
      </w:r>
      <w:r>
        <w:rPr>
          <w:rFonts w:hint="eastAsia" w:ascii="仿宋_GB2312" w:hAnsi="宋体" w:eastAsia="仿宋_GB2312" w:cs="宋体"/>
          <w:color w:val="auto"/>
          <w:spacing w:val="-141"/>
          <w:sz w:val="32"/>
          <w:szCs w:val="32"/>
        </w:rPr>
        <w:t>。</w:t>
      </w:r>
      <w:r>
        <w:rPr>
          <w:rFonts w:hint="eastAsia" w:ascii="仿宋_GB2312" w:hAnsi="宋体" w:eastAsia="仿宋_GB2312" w:cs="宋体"/>
          <w:color w:val="auto"/>
          <w:spacing w:val="-1"/>
          <w:sz w:val="32"/>
          <w:szCs w:val="32"/>
        </w:rPr>
        <w:t>此外，额外推荐2个名额至研究生院参加公开遴选。</w:t>
      </w:r>
    </w:p>
    <w:p w14:paraId="060B1D5C">
      <w:pPr>
        <w:spacing w:line="570" w:lineRule="exact"/>
        <w:ind w:left="40" w:right="108" w:firstLine="639" w:firstLineChars="200"/>
        <w:jc w:val="both"/>
        <w:rPr>
          <w:rFonts w:hint="eastAsia" w:ascii="仿宋_GB2312" w:hAnsi="宋体" w:eastAsia="仿宋_GB2312" w:cs="宋体"/>
          <w:color w:val="auto"/>
          <w:sz w:val="32"/>
          <w:szCs w:val="32"/>
        </w:rPr>
      </w:pPr>
      <w:r>
        <w:rPr>
          <w:rFonts w:hint="eastAsia" w:ascii="仿宋_GB2312" w:hAnsi="宋体" w:eastAsia="仿宋_GB2312" w:cs="宋体"/>
          <w:b/>
          <w:bCs/>
          <w:color w:val="auto"/>
          <w:spacing w:val="-1"/>
          <w:sz w:val="32"/>
          <w:szCs w:val="32"/>
        </w:rPr>
        <w:t>第</w:t>
      </w:r>
      <w:r>
        <w:rPr>
          <w:rFonts w:hint="eastAsia" w:ascii="仿宋_GB2312" w:hAnsi="宋体" w:eastAsia="仿宋_GB2312" w:cs="宋体"/>
          <w:b/>
          <w:bCs/>
          <w:color w:val="auto"/>
          <w:spacing w:val="-1"/>
          <w:sz w:val="32"/>
          <w:szCs w:val="32"/>
          <w:lang w:val="en-US" w:eastAsia="zh-CN"/>
        </w:rPr>
        <w:t>九</w:t>
      </w:r>
      <w:r>
        <w:rPr>
          <w:rFonts w:hint="eastAsia" w:ascii="仿宋_GB2312" w:hAnsi="宋体" w:eastAsia="仿宋_GB2312" w:cs="宋体"/>
          <w:b/>
          <w:bCs/>
          <w:color w:val="auto"/>
          <w:spacing w:val="-1"/>
          <w:sz w:val="32"/>
          <w:szCs w:val="32"/>
        </w:rPr>
        <w:t>条</w:t>
      </w:r>
      <w:r>
        <w:rPr>
          <w:rFonts w:ascii="仿宋_GB2312" w:hAnsi="宋体" w:eastAsia="仿宋_GB2312" w:cs="宋体"/>
          <w:color w:val="auto"/>
          <w:spacing w:val="-10"/>
          <w:sz w:val="32"/>
          <w:szCs w:val="32"/>
        </w:rPr>
        <w:tab/>
      </w:r>
      <w:r>
        <w:rPr>
          <w:rFonts w:ascii="仿宋_GB2312" w:hAnsi="宋体" w:eastAsia="仿宋_GB2312" w:cs="宋体"/>
          <w:color w:val="auto"/>
          <w:spacing w:val="-10"/>
          <w:sz w:val="32"/>
          <w:szCs w:val="32"/>
        </w:rPr>
        <w:t xml:space="preserve"> </w:t>
      </w:r>
      <w:r>
        <w:rPr>
          <w:rFonts w:hint="eastAsia" w:ascii="仿宋_GB2312" w:hAnsi="宋体" w:eastAsia="仿宋_GB2312" w:cs="宋体"/>
          <w:color w:val="auto"/>
          <w:spacing w:val="-1"/>
          <w:sz w:val="32"/>
          <w:szCs w:val="32"/>
        </w:rPr>
        <w:t>依据各学位点研</w:t>
      </w:r>
      <w:r>
        <w:rPr>
          <w:rFonts w:hint="eastAsia" w:ascii="仿宋_GB2312" w:hAnsi="宋体" w:eastAsia="仿宋_GB2312" w:cs="宋体"/>
          <w:color w:val="auto"/>
          <w:sz w:val="32"/>
          <w:szCs w:val="32"/>
        </w:rPr>
        <w:t>究生数量的所占比例</w:t>
      </w:r>
      <w:r>
        <w:rPr>
          <w:rFonts w:hint="eastAsia" w:ascii="仿宋_GB2312" w:hAnsi="宋体" w:eastAsia="仿宋_GB2312" w:cs="宋体"/>
          <w:color w:val="auto"/>
          <w:spacing w:val="-141"/>
          <w:sz w:val="32"/>
          <w:szCs w:val="32"/>
        </w:rPr>
        <w:t>，</w:t>
      </w:r>
      <w:r>
        <w:rPr>
          <w:rFonts w:hint="eastAsia" w:ascii="仿宋_GB2312" w:hAnsi="宋体" w:eastAsia="仿宋_GB2312" w:cs="宋体"/>
          <w:color w:val="auto"/>
          <w:sz w:val="32"/>
          <w:szCs w:val="32"/>
        </w:rPr>
        <w:t>将国家奖学金名额优</w:t>
      </w:r>
      <w:r>
        <w:rPr>
          <w:rFonts w:hint="eastAsia" w:ascii="仿宋_GB2312" w:hAnsi="宋体" w:eastAsia="仿宋_GB2312" w:cs="宋体"/>
          <w:color w:val="auto"/>
          <w:spacing w:val="4"/>
          <w:sz w:val="32"/>
          <w:szCs w:val="32"/>
        </w:rPr>
        <w:t>化分配至</w:t>
      </w:r>
      <w:r>
        <w:rPr>
          <w:rFonts w:hint="eastAsia" w:ascii="仿宋_GB2312" w:hAnsi="宋体" w:eastAsia="仿宋_GB2312" w:cs="宋体"/>
          <w:color w:val="auto"/>
          <w:spacing w:val="3"/>
          <w:sz w:val="32"/>
          <w:szCs w:val="32"/>
        </w:rPr>
        <w:t>各学位点</w:t>
      </w:r>
      <w:r>
        <w:rPr>
          <w:rFonts w:hint="eastAsia" w:ascii="仿宋_GB2312" w:hAnsi="宋体" w:eastAsia="仿宋_GB2312" w:cs="宋体"/>
          <w:color w:val="auto"/>
          <w:spacing w:val="4"/>
          <w:sz w:val="32"/>
          <w:szCs w:val="32"/>
        </w:rPr>
        <w:t>，各学位点的分配名额如下表所示，</w:t>
      </w:r>
      <w:r>
        <w:rPr>
          <w:rFonts w:hint="eastAsia" w:ascii="仿宋_GB2312" w:hAnsi="宋体" w:eastAsia="仿宋_GB2312" w:cs="宋体"/>
          <w:color w:val="auto"/>
          <w:spacing w:val="3"/>
          <w:sz w:val="32"/>
          <w:szCs w:val="32"/>
        </w:rPr>
        <w:t>在各学位点所涉专业的研</w:t>
      </w:r>
      <w:r>
        <w:rPr>
          <w:rFonts w:hint="eastAsia" w:ascii="仿宋_GB2312" w:hAnsi="宋体" w:eastAsia="仿宋_GB2312" w:cs="宋体"/>
          <w:color w:val="auto"/>
          <w:sz w:val="32"/>
          <w:szCs w:val="32"/>
        </w:rPr>
        <w:t>究生中进行择优评选。</w:t>
      </w:r>
    </w:p>
    <w:tbl>
      <w:tblPr>
        <w:tblStyle w:val="10"/>
        <w:tblW w:w="85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28"/>
        <w:gridCol w:w="4447"/>
        <w:gridCol w:w="1459"/>
      </w:tblGrid>
      <w:tr w14:paraId="060B1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2628" w:type="dxa"/>
            <w:vAlign w:val="center"/>
          </w:tcPr>
          <w:p w14:paraId="060B1D5D">
            <w:pPr>
              <w:spacing w:line="570" w:lineRule="exact"/>
              <w:jc w:val="center"/>
              <w:rPr>
                <w:rFonts w:hint="eastAsia" w:ascii="仿宋_GB2312" w:hAnsi="宋体" w:eastAsia="仿宋_GB2312" w:cs="宋体"/>
                <w:b/>
                <w:color w:val="auto"/>
                <w:spacing w:val="3"/>
                <w:sz w:val="32"/>
                <w:szCs w:val="32"/>
              </w:rPr>
            </w:pPr>
            <w:r>
              <w:rPr>
                <w:rFonts w:ascii="仿宋_GB2312" w:hAnsi="宋体" w:eastAsia="仿宋_GB2312" w:cs="宋体"/>
                <w:b/>
                <w:color w:val="auto"/>
                <w:spacing w:val="3"/>
                <w:sz w:val="32"/>
                <w:szCs w:val="32"/>
              </w:rPr>
              <w:t>学位点</w:t>
            </w:r>
          </w:p>
        </w:tc>
        <w:tc>
          <w:tcPr>
            <w:tcW w:w="4447" w:type="dxa"/>
            <w:vAlign w:val="center"/>
          </w:tcPr>
          <w:p w14:paraId="060B1D5E">
            <w:pPr>
              <w:spacing w:line="570" w:lineRule="exact"/>
              <w:ind w:right="1108"/>
              <w:jc w:val="center"/>
              <w:rPr>
                <w:rFonts w:hint="eastAsia" w:ascii="仿宋_GB2312" w:hAnsi="宋体" w:eastAsia="仿宋_GB2312" w:cs="宋体"/>
                <w:b/>
                <w:color w:val="auto"/>
                <w:spacing w:val="3"/>
                <w:sz w:val="32"/>
                <w:szCs w:val="32"/>
              </w:rPr>
            </w:pPr>
            <w:r>
              <w:rPr>
                <w:rFonts w:ascii="仿宋_GB2312" w:hAnsi="宋体" w:eastAsia="仿宋_GB2312" w:cs="宋体"/>
                <w:b/>
                <w:color w:val="auto"/>
                <w:spacing w:val="3"/>
                <w:sz w:val="32"/>
                <w:szCs w:val="32"/>
              </w:rPr>
              <w:t>专业</w:t>
            </w:r>
          </w:p>
        </w:tc>
        <w:tc>
          <w:tcPr>
            <w:tcW w:w="1459" w:type="dxa"/>
            <w:vAlign w:val="center"/>
          </w:tcPr>
          <w:p w14:paraId="060B1D5F">
            <w:pPr>
              <w:spacing w:line="570" w:lineRule="exact"/>
              <w:jc w:val="center"/>
              <w:rPr>
                <w:rFonts w:hint="eastAsia" w:ascii="仿宋_GB2312" w:hAnsi="宋体" w:eastAsia="仿宋_GB2312" w:cs="宋体"/>
                <w:b/>
                <w:color w:val="auto"/>
                <w:spacing w:val="3"/>
                <w:sz w:val="32"/>
                <w:szCs w:val="32"/>
              </w:rPr>
            </w:pPr>
            <w:r>
              <w:rPr>
                <w:rFonts w:ascii="仿宋_GB2312" w:hAnsi="宋体" w:eastAsia="仿宋_GB2312" w:cs="宋体"/>
                <w:b/>
                <w:color w:val="auto"/>
                <w:spacing w:val="3"/>
                <w:sz w:val="32"/>
                <w:szCs w:val="32"/>
              </w:rPr>
              <w:t>分配名额</w:t>
            </w:r>
          </w:p>
        </w:tc>
      </w:tr>
      <w:tr w14:paraId="060B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jc w:val="center"/>
        </w:trPr>
        <w:tc>
          <w:tcPr>
            <w:tcW w:w="2628" w:type="dxa"/>
            <w:vAlign w:val="center"/>
          </w:tcPr>
          <w:p w14:paraId="060B1D61">
            <w:pPr>
              <w:jc w:val="center"/>
              <w:rPr>
                <w:rFonts w:hint="eastAsia" w:ascii="仿宋_GB2312" w:hAnsi="宋体" w:eastAsia="仿宋_GB2312" w:cs="宋体"/>
                <w:color w:val="auto"/>
                <w:spacing w:val="3"/>
                <w:sz w:val="30"/>
                <w:szCs w:val="30"/>
              </w:rPr>
            </w:pPr>
            <w:r>
              <w:rPr>
                <w:rFonts w:ascii="仿宋_GB2312" w:hAnsi="宋体" w:eastAsia="仿宋_GB2312" w:cs="宋体"/>
                <w:color w:val="auto"/>
                <w:spacing w:val="3"/>
                <w:sz w:val="30"/>
                <w:szCs w:val="30"/>
              </w:rPr>
              <w:t>交通运输工程</w:t>
            </w:r>
          </w:p>
        </w:tc>
        <w:tc>
          <w:tcPr>
            <w:tcW w:w="4447" w:type="dxa"/>
            <w:vAlign w:val="center"/>
          </w:tcPr>
          <w:p w14:paraId="060B1D62">
            <w:pPr>
              <w:ind w:left="116" w:right="162"/>
              <w:jc w:val="center"/>
              <w:rPr>
                <w:rFonts w:hint="eastAsia" w:ascii="仿宋_GB2312" w:hAnsi="宋体" w:eastAsia="仿宋_GB2312" w:cs="宋体"/>
                <w:color w:val="auto"/>
                <w:spacing w:val="3"/>
                <w:sz w:val="30"/>
                <w:szCs w:val="30"/>
              </w:rPr>
            </w:pPr>
            <w:r>
              <w:rPr>
                <w:rFonts w:hint="eastAsia" w:ascii="仿宋_GB2312" w:hAnsi="宋体" w:eastAsia="仿宋_GB2312" w:cs="宋体"/>
                <w:color w:val="auto"/>
                <w:spacing w:val="3"/>
                <w:sz w:val="30"/>
                <w:szCs w:val="30"/>
              </w:rPr>
              <w:t>水路</w:t>
            </w:r>
            <w:r>
              <w:rPr>
                <w:rFonts w:ascii="仿宋_GB2312" w:hAnsi="宋体" w:eastAsia="仿宋_GB2312" w:cs="宋体"/>
                <w:color w:val="auto"/>
                <w:spacing w:val="3"/>
                <w:sz w:val="30"/>
                <w:szCs w:val="30"/>
              </w:rPr>
              <w:t>交通运输</w:t>
            </w:r>
            <w:r>
              <w:rPr>
                <w:rFonts w:hint="eastAsia" w:ascii="仿宋_GB2312" w:hAnsi="宋体" w:eastAsia="仿宋_GB2312" w:cs="宋体"/>
                <w:color w:val="auto"/>
                <w:spacing w:val="3"/>
                <w:sz w:val="30"/>
                <w:szCs w:val="30"/>
              </w:rPr>
              <w:t>工程、人工智能、</w:t>
            </w:r>
            <w:r>
              <w:rPr>
                <w:rFonts w:ascii="仿宋_GB2312" w:hAnsi="宋体" w:eastAsia="仿宋_GB2312" w:cs="宋体"/>
                <w:color w:val="auto"/>
                <w:spacing w:val="3"/>
                <w:sz w:val="30"/>
                <w:szCs w:val="30"/>
              </w:rPr>
              <w:t>交通信息工程及控制</w:t>
            </w:r>
            <w:r>
              <w:rPr>
                <w:rFonts w:hint="eastAsia" w:ascii="仿宋_GB2312" w:hAnsi="宋体" w:eastAsia="仿宋_GB2312" w:cs="宋体"/>
                <w:color w:val="auto"/>
                <w:spacing w:val="3"/>
                <w:sz w:val="30"/>
                <w:szCs w:val="30"/>
              </w:rPr>
              <w:t>、</w:t>
            </w:r>
            <w:r>
              <w:rPr>
                <w:rFonts w:ascii="仿宋_GB2312" w:hAnsi="宋体" w:eastAsia="仿宋_GB2312" w:cs="宋体"/>
                <w:color w:val="auto"/>
                <w:spacing w:val="3"/>
                <w:sz w:val="30"/>
                <w:szCs w:val="30"/>
              </w:rPr>
              <w:t>载运工具运用工程</w:t>
            </w:r>
          </w:p>
        </w:tc>
        <w:tc>
          <w:tcPr>
            <w:tcW w:w="1459" w:type="dxa"/>
            <w:vAlign w:val="center"/>
          </w:tcPr>
          <w:p w14:paraId="060B1D63">
            <w:pPr>
              <w:jc w:val="center"/>
              <w:rPr>
                <w:rFonts w:hint="eastAsia" w:ascii="仿宋_GB2312" w:hAnsi="宋体" w:eastAsia="仿宋_GB2312" w:cs="宋体"/>
                <w:color w:val="auto"/>
                <w:spacing w:val="3"/>
                <w:sz w:val="30"/>
                <w:szCs w:val="30"/>
                <w:lang w:eastAsia="zh-CN"/>
              </w:rPr>
            </w:pPr>
            <w:r>
              <w:rPr>
                <w:rFonts w:hint="eastAsia" w:ascii="仿宋_GB2312" w:hAnsi="宋体" w:eastAsia="仿宋_GB2312" w:cs="宋体"/>
                <w:color w:val="auto"/>
                <w:spacing w:val="3"/>
                <w:sz w:val="30"/>
                <w:szCs w:val="30"/>
                <w:lang w:val="en-US" w:eastAsia="zh-CN"/>
              </w:rPr>
              <w:t>5</w:t>
            </w:r>
          </w:p>
        </w:tc>
      </w:tr>
      <w:tr w14:paraId="060B1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jc w:val="center"/>
        </w:trPr>
        <w:tc>
          <w:tcPr>
            <w:tcW w:w="2628" w:type="dxa"/>
            <w:vAlign w:val="center"/>
          </w:tcPr>
          <w:p w14:paraId="060B1D65">
            <w:pPr>
              <w:jc w:val="center"/>
              <w:rPr>
                <w:rFonts w:hint="eastAsia" w:ascii="仿宋_GB2312" w:hAnsi="宋体" w:eastAsia="仿宋_GB2312" w:cs="宋体"/>
                <w:color w:val="auto"/>
                <w:spacing w:val="3"/>
                <w:sz w:val="30"/>
                <w:szCs w:val="30"/>
              </w:rPr>
            </w:pPr>
            <w:r>
              <w:rPr>
                <w:rFonts w:ascii="仿宋_GB2312" w:hAnsi="宋体" w:eastAsia="仿宋_GB2312" w:cs="宋体"/>
                <w:color w:val="auto"/>
                <w:spacing w:val="3"/>
                <w:sz w:val="30"/>
                <w:szCs w:val="30"/>
              </w:rPr>
              <w:t>船舶与海洋工程</w:t>
            </w:r>
          </w:p>
        </w:tc>
        <w:tc>
          <w:tcPr>
            <w:tcW w:w="4447" w:type="dxa"/>
            <w:vAlign w:val="center"/>
          </w:tcPr>
          <w:p w14:paraId="060B1D66">
            <w:pPr>
              <w:ind w:left="115" w:right="23"/>
              <w:jc w:val="center"/>
              <w:rPr>
                <w:rFonts w:hint="eastAsia" w:ascii="仿宋_GB2312" w:hAnsi="宋体" w:eastAsia="仿宋_GB2312" w:cs="宋体"/>
                <w:color w:val="auto"/>
                <w:spacing w:val="3"/>
                <w:sz w:val="30"/>
                <w:szCs w:val="30"/>
              </w:rPr>
            </w:pPr>
            <w:r>
              <w:rPr>
                <w:rFonts w:ascii="仿宋_GB2312" w:hAnsi="宋体" w:eastAsia="仿宋_GB2312" w:cs="宋体"/>
                <w:color w:val="auto"/>
                <w:spacing w:val="3"/>
                <w:sz w:val="30"/>
                <w:szCs w:val="30"/>
              </w:rPr>
              <w:t>船舶</w:t>
            </w:r>
            <w:r>
              <w:rPr>
                <w:rFonts w:hint="eastAsia" w:ascii="仿宋_GB2312" w:hAnsi="宋体" w:eastAsia="仿宋_GB2312" w:cs="宋体"/>
                <w:color w:val="auto"/>
                <w:spacing w:val="3"/>
                <w:sz w:val="30"/>
                <w:szCs w:val="30"/>
              </w:rPr>
              <w:t>工程、</w:t>
            </w:r>
            <w:r>
              <w:rPr>
                <w:rFonts w:ascii="仿宋_GB2312" w:hAnsi="宋体" w:eastAsia="仿宋_GB2312" w:cs="宋体"/>
                <w:color w:val="auto"/>
                <w:spacing w:val="3"/>
                <w:sz w:val="30"/>
                <w:szCs w:val="30"/>
              </w:rPr>
              <w:t>海洋工程</w:t>
            </w:r>
            <w:r>
              <w:rPr>
                <w:rFonts w:hint="eastAsia" w:ascii="仿宋_GB2312" w:hAnsi="宋体" w:eastAsia="仿宋_GB2312" w:cs="宋体"/>
                <w:color w:val="auto"/>
                <w:spacing w:val="3"/>
                <w:sz w:val="30"/>
                <w:szCs w:val="30"/>
              </w:rPr>
              <w:t>、</w:t>
            </w:r>
            <w:r>
              <w:rPr>
                <w:rFonts w:ascii="仿宋_GB2312" w:hAnsi="宋体" w:eastAsia="仿宋_GB2312" w:cs="宋体"/>
                <w:color w:val="auto"/>
                <w:spacing w:val="3"/>
                <w:sz w:val="30"/>
                <w:szCs w:val="30"/>
              </w:rPr>
              <w:t>轮机工程</w:t>
            </w:r>
          </w:p>
        </w:tc>
        <w:tc>
          <w:tcPr>
            <w:tcW w:w="1459" w:type="dxa"/>
            <w:vAlign w:val="center"/>
          </w:tcPr>
          <w:p w14:paraId="060B1D67">
            <w:pPr>
              <w:jc w:val="center"/>
              <w:rPr>
                <w:rFonts w:hint="eastAsia" w:ascii="仿宋_GB2312" w:hAnsi="宋体" w:eastAsia="仿宋_GB2312" w:cs="宋体"/>
                <w:color w:val="auto"/>
                <w:spacing w:val="3"/>
                <w:sz w:val="30"/>
                <w:szCs w:val="30"/>
                <w:lang w:eastAsia="zh-CN"/>
              </w:rPr>
            </w:pPr>
            <w:r>
              <w:rPr>
                <w:rFonts w:hint="eastAsia" w:ascii="仿宋_GB2312" w:hAnsi="宋体" w:eastAsia="仿宋_GB2312" w:cs="宋体"/>
                <w:color w:val="auto"/>
                <w:spacing w:val="3"/>
                <w:sz w:val="30"/>
                <w:szCs w:val="30"/>
                <w:lang w:val="en-US" w:eastAsia="zh-CN"/>
              </w:rPr>
              <w:t>5</w:t>
            </w:r>
          </w:p>
        </w:tc>
      </w:tr>
      <w:tr w14:paraId="060B1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2628" w:type="dxa"/>
            <w:vAlign w:val="center"/>
          </w:tcPr>
          <w:p w14:paraId="060B1D69">
            <w:pPr>
              <w:ind w:right="150"/>
              <w:jc w:val="center"/>
              <w:rPr>
                <w:rFonts w:hint="eastAsia" w:ascii="仿宋_GB2312" w:hAnsi="宋体" w:eastAsia="仿宋_GB2312" w:cs="宋体"/>
                <w:color w:val="auto"/>
                <w:spacing w:val="3"/>
                <w:sz w:val="30"/>
                <w:szCs w:val="30"/>
              </w:rPr>
            </w:pPr>
            <w:r>
              <w:rPr>
                <w:rFonts w:ascii="仿宋_GB2312" w:hAnsi="宋体" w:eastAsia="仿宋_GB2312" w:cs="宋体"/>
                <w:color w:val="auto"/>
                <w:spacing w:val="3"/>
                <w:sz w:val="30"/>
                <w:szCs w:val="30"/>
              </w:rPr>
              <w:t>动力工程及工程热物理</w:t>
            </w:r>
          </w:p>
        </w:tc>
        <w:tc>
          <w:tcPr>
            <w:tcW w:w="4447" w:type="dxa"/>
            <w:vAlign w:val="center"/>
          </w:tcPr>
          <w:p w14:paraId="060B1D6A">
            <w:pPr>
              <w:jc w:val="center"/>
              <w:rPr>
                <w:rFonts w:hint="eastAsia" w:ascii="仿宋_GB2312" w:hAnsi="宋体" w:eastAsia="仿宋_GB2312" w:cs="宋体"/>
                <w:color w:val="auto"/>
                <w:spacing w:val="3"/>
                <w:sz w:val="30"/>
                <w:szCs w:val="30"/>
              </w:rPr>
            </w:pPr>
            <w:r>
              <w:rPr>
                <w:rFonts w:hint="eastAsia" w:ascii="仿宋_GB2312" w:hAnsi="宋体" w:eastAsia="仿宋_GB2312" w:cs="宋体"/>
                <w:color w:val="auto"/>
                <w:spacing w:val="3"/>
                <w:sz w:val="30"/>
                <w:szCs w:val="30"/>
              </w:rPr>
              <w:t>动力工程、清洁能源技术、</w:t>
            </w:r>
          </w:p>
          <w:p w14:paraId="060B1D6B">
            <w:pPr>
              <w:jc w:val="center"/>
              <w:rPr>
                <w:rFonts w:hint="eastAsia" w:ascii="仿宋_GB2312" w:hAnsi="宋体" w:eastAsia="仿宋_GB2312" w:cs="宋体"/>
                <w:color w:val="auto"/>
                <w:spacing w:val="3"/>
                <w:sz w:val="30"/>
                <w:szCs w:val="30"/>
              </w:rPr>
            </w:pPr>
            <w:r>
              <w:rPr>
                <w:rFonts w:ascii="仿宋_GB2312" w:hAnsi="宋体" w:eastAsia="仿宋_GB2312" w:cs="宋体"/>
                <w:color w:val="auto"/>
                <w:spacing w:val="3"/>
                <w:sz w:val="30"/>
                <w:szCs w:val="30"/>
              </w:rPr>
              <w:t>动力工程及工程热物理</w:t>
            </w:r>
          </w:p>
        </w:tc>
        <w:tc>
          <w:tcPr>
            <w:tcW w:w="1459" w:type="dxa"/>
            <w:vAlign w:val="center"/>
          </w:tcPr>
          <w:p w14:paraId="060B1D6C">
            <w:pPr>
              <w:spacing w:line="570" w:lineRule="exact"/>
              <w:jc w:val="center"/>
              <w:rPr>
                <w:rFonts w:hint="eastAsia" w:ascii="仿宋_GB2312" w:hAnsi="宋体" w:eastAsia="仿宋_GB2312" w:cs="宋体"/>
                <w:color w:val="auto"/>
                <w:spacing w:val="3"/>
                <w:sz w:val="30"/>
                <w:szCs w:val="30"/>
              </w:rPr>
            </w:pPr>
            <w:r>
              <w:rPr>
                <w:rFonts w:hint="eastAsia" w:ascii="仿宋_GB2312" w:hAnsi="宋体" w:eastAsia="仿宋_GB2312" w:cs="宋体"/>
                <w:color w:val="auto"/>
                <w:spacing w:val="3"/>
                <w:sz w:val="30"/>
                <w:szCs w:val="30"/>
              </w:rPr>
              <w:t>5</w:t>
            </w:r>
          </w:p>
        </w:tc>
      </w:tr>
      <w:tr w14:paraId="060B1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2628" w:type="dxa"/>
            <w:vAlign w:val="center"/>
          </w:tcPr>
          <w:p w14:paraId="060B1D6E">
            <w:pPr>
              <w:ind w:right="150"/>
              <w:jc w:val="center"/>
              <w:rPr>
                <w:rFonts w:hint="eastAsia" w:ascii="仿宋_GB2312" w:hAnsi="宋体" w:eastAsia="仿宋_GB2312" w:cs="宋体"/>
                <w:color w:val="auto"/>
                <w:spacing w:val="3"/>
                <w:sz w:val="30"/>
                <w:szCs w:val="30"/>
              </w:rPr>
            </w:pPr>
            <w:r>
              <w:rPr>
                <w:rFonts w:hint="eastAsia" w:ascii="仿宋_GB2312" w:hAnsi="宋体" w:eastAsia="仿宋_GB2312" w:cs="宋体"/>
                <w:color w:val="auto"/>
                <w:spacing w:val="3"/>
                <w:sz w:val="30"/>
                <w:szCs w:val="30"/>
              </w:rPr>
              <w:t>安全科学与工程</w:t>
            </w:r>
          </w:p>
        </w:tc>
        <w:tc>
          <w:tcPr>
            <w:tcW w:w="4447" w:type="dxa"/>
            <w:vAlign w:val="center"/>
          </w:tcPr>
          <w:p w14:paraId="060B1D6F">
            <w:pPr>
              <w:jc w:val="center"/>
              <w:rPr>
                <w:rFonts w:hint="eastAsia" w:ascii="仿宋_GB2312" w:hAnsi="宋体" w:eastAsia="仿宋_GB2312" w:cs="宋体"/>
                <w:color w:val="auto"/>
                <w:spacing w:val="3"/>
                <w:sz w:val="30"/>
                <w:szCs w:val="30"/>
              </w:rPr>
            </w:pPr>
            <w:r>
              <w:rPr>
                <w:rFonts w:hint="eastAsia" w:ascii="仿宋_GB2312" w:hAnsi="宋体" w:eastAsia="仿宋_GB2312" w:cs="宋体"/>
                <w:color w:val="auto"/>
                <w:spacing w:val="3"/>
                <w:sz w:val="30"/>
                <w:szCs w:val="30"/>
              </w:rPr>
              <w:t>安全科学与工程</w:t>
            </w:r>
          </w:p>
        </w:tc>
        <w:tc>
          <w:tcPr>
            <w:tcW w:w="1459" w:type="dxa"/>
            <w:vAlign w:val="center"/>
          </w:tcPr>
          <w:p w14:paraId="060B1D70">
            <w:pPr>
              <w:spacing w:line="570" w:lineRule="exact"/>
              <w:jc w:val="center"/>
              <w:rPr>
                <w:rFonts w:hint="eastAsia" w:ascii="仿宋_GB2312" w:hAnsi="宋体" w:eastAsia="仿宋_GB2312" w:cs="宋体"/>
                <w:color w:val="auto"/>
                <w:spacing w:val="3"/>
                <w:sz w:val="30"/>
                <w:szCs w:val="30"/>
              </w:rPr>
            </w:pPr>
            <w:r>
              <w:rPr>
                <w:rFonts w:hint="eastAsia" w:ascii="仿宋_GB2312" w:hAnsi="宋体" w:eastAsia="仿宋_GB2312" w:cs="宋体"/>
                <w:color w:val="auto"/>
                <w:spacing w:val="3"/>
                <w:sz w:val="30"/>
                <w:szCs w:val="30"/>
              </w:rPr>
              <w:t>2</w:t>
            </w:r>
          </w:p>
        </w:tc>
      </w:tr>
    </w:tbl>
    <w:p w14:paraId="060B1D72">
      <w:pPr>
        <w:spacing w:line="570" w:lineRule="exact"/>
        <w:ind w:firstLine="643" w:firstLineChars="200"/>
        <w:jc w:val="both"/>
        <w:rPr>
          <w:rFonts w:hint="eastAsia" w:ascii="仿宋_GB2312" w:hAnsi="宋体" w:eastAsia="仿宋_GB2312" w:cs="宋体"/>
          <w:color w:val="auto"/>
          <w:spacing w:val="3"/>
          <w:sz w:val="32"/>
          <w:szCs w:val="32"/>
        </w:rPr>
      </w:pPr>
      <w:r>
        <w:rPr>
          <w:rFonts w:hint="eastAsia" w:ascii="仿宋_GB2312" w:hAnsi="宋体" w:eastAsia="仿宋_GB2312" w:cs="宋体"/>
          <w:b/>
          <w:bCs/>
          <w:color w:val="auto"/>
          <w:sz w:val="32"/>
          <w:szCs w:val="32"/>
        </w:rPr>
        <w:t>第</w:t>
      </w:r>
      <w:r>
        <w:rPr>
          <w:rFonts w:hint="eastAsia" w:ascii="仿宋_GB2312" w:hAnsi="宋体" w:eastAsia="仿宋_GB2312" w:cs="宋体"/>
          <w:b/>
          <w:bCs/>
          <w:color w:val="auto"/>
          <w:sz w:val="32"/>
          <w:szCs w:val="32"/>
          <w:lang w:val="en-US" w:eastAsia="zh-CN"/>
        </w:rPr>
        <w:t>十</w:t>
      </w:r>
      <w:r>
        <w:rPr>
          <w:rFonts w:hint="eastAsia" w:ascii="仿宋_GB2312" w:hAnsi="宋体" w:eastAsia="仿宋_GB2312" w:cs="宋体"/>
          <w:b/>
          <w:bCs/>
          <w:color w:val="auto"/>
          <w:sz w:val="32"/>
          <w:szCs w:val="32"/>
        </w:rPr>
        <w:t>条</w:t>
      </w:r>
      <w:r>
        <w:rPr>
          <w:rFonts w:ascii="仿宋_GB2312" w:hAnsi="宋体" w:eastAsia="仿宋_GB2312" w:cs="宋体"/>
          <w:color w:val="auto"/>
          <w:spacing w:val="-1"/>
          <w:sz w:val="32"/>
          <w:szCs w:val="32"/>
        </w:rPr>
        <w:tab/>
      </w:r>
      <w:r>
        <w:rPr>
          <w:rFonts w:ascii="仿宋_GB2312" w:hAnsi="宋体" w:eastAsia="仿宋_GB2312" w:cs="宋体"/>
          <w:color w:val="auto"/>
          <w:spacing w:val="-1"/>
          <w:sz w:val="32"/>
          <w:szCs w:val="32"/>
        </w:rPr>
        <w:t xml:space="preserve"> </w:t>
      </w:r>
      <w:r>
        <w:rPr>
          <w:rFonts w:hint="eastAsia" w:ascii="仿宋_GB2312" w:hAnsi="宋体" w:eastAsia="仿宋_GB2312" w:cs="宋体"/>
          <w:color w:val="auto"/>
          <w:spacing w:val="3"/>
          <w:sz w:val="32"/>
          <w:szCs w:val="32"/>
        </w:rPr>
        <w:t xml:space="preserve">评选流程及时间节点安排如下： </w:t>
      </w:r>
    </w:p>
    <w:p w14:paraId="060B1D73">
      <w:pPr>
        <w:spacing w:line="570" w:lineRule="exact"/>
        <w:ind w:firstLine="652" w:firstLineChars="200"/>
        <w:rPr>
          <w:rFonts w:hint="eastAsia" w:ascii="仿宋_GB2312" w:hAnsi="宋体" w:eastAsia="仿宋_GB2312" w:cs="宋体"/>
          <w:color w:val="auto"/>
          <w:spacing w:val="3"/>
          <w:sz w:val="32"/>
          <w:szCs w:val="32"/>
        </w:rPr>
      </w:pPr>
      <w:r>
        <w:rPr>
          <w:rFonts w:hint="eastAsia" w:ascii="仿宋_GB2312" w:hAnsi="宋体" w:eastAsia="仿宋_GB2312" w:cs="宋体"/>
          <w:color w:val="auto"/>
          <w:spacing w:val="3"/>
          <w:sz w:val="32"/>
          <w:szCs w:val="32"/>
          <w:lang w:eastAsia="zh-CN"/>
        </w:rPr>
        <w:t>2026</w:t>
      </w:r>
      <w:r>
        <w:rPr>
          <w:rFonts w:hint="eastAsia" w:ascii="仿宋_GB2312" w:hAnsi="宋体" w:eastAsia="仿宋_GB2312" w:cs="宋体"/>
          <w:color w:val="auto"/>
          <w:spacing w:val="3"/>
          <w:sz w:val="32"/>
          <w:szCs w:val="32"/>
        </w:rPr>
        <w:t>年9月1</w:t>
      </w:r>
      <w:r>
        <w:rPr>
          <w:rFonts w:hint="eastAsia" w:ascii="仿宋_GB2312" w:hAnsi="宋体" w:eastAsia="仿宋_GB2312" w:cs="宋体"/>
          <w:color w:val="auto"/>
          <w:spacing w:val="3"/>
          <w:sz w:val="32"/>
          <w:szCs w:val="32"/>
          <w:lang w:val="en-US" w:eastAsia="zh-CN"/>
        </w:rPr>
        <w:t>6</w:t>
      </w:r>
      <w:r>
        <w:rPr>
          <w:rFonts w:hint="eastAsia" w:ascii="仿宋_GB2312" w:hAnsi="宋体" w:eastAsia="仿宋_GB2312" w:cs="宋体"/>
          <w:color w:val="auto"/>
          <w:spacing w:val="3"/>
          <w:sz w:val="32"/>
          <w:szCs w:val="32"/>
        </w:rPr>
        <w:t>日前</w:t>
      </w:r>
      <w:r>
        <w:rPr>
          <w:rFonts w:hint="eastAsia" w:ascii="仿宋_GB2312" w:hAnsi="宋体" w:eastAsia="仿宋_GB2312" w:cs="宋体"/>
          <w:color w:val="auto"/>
          <w:spacing w:val="3"/>
          <w:sz w:val="32"/>
          <w:szCs w:val="32"/>
        </w:rPr>
        <w:t>，确定学院研究生评奖评优工作领导小组成员名单，制定实施细则、工作程序等，完成实施细则的公开公示；</w:t>
      </w:r>
    </w:p>
    <w:p w14:paraId="060B1D74">
      <w:pPr>
        <w:spacing w:line="570" w:lineRule="exact"/>
        <w:ind w:firstLine="652" w:firstLineChars="200"/>
        <w:rPr>
          <w:rFonts w:hint="eastAsia" w:ascii="仿宋_GB2312" w:hAnsi="宋体" w:eastAsia="仿宋_GB2312" w:cs="宋体"/>
          <w:color w:val="auto"/>
          <w:spacing w:val="3"/>
          <w:sz w:val="32"/>
          <w:szCs w:val="32"/>
        </w:rPr>
      </w:pPr>
      <w:r>
        <w:rPr>
          <w:rFonts w:hint="eastAsia" w:ascii="仿宋_GB2312" w:hAnsi="宋体" w:eastAsia="仿宋_GB2312" w:cs="宋体"/>
          <w:color w:val="auto"/>
          <w:spacing w:val="3"/>
          <w:sz w:val="32"/>
          <w:szCs w:val="32"/>
          <w:lang w:eastAsia="zh-CN"/>
        </w:rPr>
        <w:t>2026</w:t>
      </w:r>
      <w:r>
        <w:rPr>
          <w:rFonts w:hint="eastAsia" w:ascii="仿宋_GB2312" w:hAnsi="宋体" w:eastAsia="仿宋_GB2312" w:cs="宋体"/>
          <w:color w:val="auto"/>
          <w:spacing w:val="3"/>
          <w:sz w:val="32"/>
          <w:szCs w:val="32"/>
        </w:rPr>
        <w:t>年9月</w:t>
      </w:r>
      <w:r>
        <w:rPr>
          <w:rFonts w:hint="eastAsia" w:ascii="仿宋_GB2312" w:hAnsi="宋体" w:eastAsia="仿宋_GB2312" w:cs="宋体"/>
          <w:color w:val="auto"/>
          <w:spacing w:val="3"/>
          <w:sz w:val="32"/>
          <w:szCs w:val="32"/>
          <w:lang w:val="en-US" w:eastAsia="zh-CN"/>
        </w:rPr>
        <w:t>17-</w:t>
      </w:r>
      <w:r>
        <w:rPr>
          <w:rFonts w:hint="eastAsia" w:ascii="仿宋_GB2312" w:hAnsi="宋体" w:eastAsia="仿宋_GB2312" w:cs="宋体"/>
          <w:color w:val="auto"/>
          <w:spacing w:val="3"/>
          <w:sz w:val="32"/>
          <w:szCs w:val="32"/>
        </w:rPr>
        <w:t>2</w:t>
      </w:r>
      <w:r>
        <w:rPr>
          <w:rFonts w:hint="eastAsia" w:ascii="仿宋_GB2312" w:hAnsi="宋体" w:eastAsia="仿宋_GB2312" w:cs="宋体"/>
          <w:color w:val="auto"/>
          <w:spacing w:val="3"/>
          <w:sz w:val="32"/>
          <w:szCs w:val="32"/>
          <w:lang w:val="en-US" w:eastAsia="zh-CN"/>
        </w:rPr>
        <w:t>0</w:t>
      </w:r>
      <w:r>
        <w:rPr>
          <w:rFonts w:hint="eastAsia" w:ascii="仿宋_GB2312" w:hAnsi="宋体" w:eastAsia="仿宋_GB2312" w:cs="宋体"/>
          <w:color w:val="auto"/>
          <w:spacing w:val="3"/>
          <w:sz w:val="32"/>
          <w:szCs w:val="32"/>
        </w:rPr>
        <w:t>日</w:t>
      </w:r>
      <w:r>
        <w:rPr>
          <w:rFonts w:hint="eastAsia" w:ascii="仿宋_GB2312" w:hAnsi="宋体" w:eastAsia="仿宋_GB2312" w:cs="宋体"/>
          <w:color w:val="auto"/>
          <w:spacing w:val="3"/>
          <w:sz w:val="32"/>
          <w:szCs w:val="32"/>
        </w:rPr>
        <w:t>，研究生完成提交相关申请材料；</w:t>
      </w:r>
    </w:p>
    <w:p w14:paraId="060B1D75">
      <w:pPr>
        <w:spacing w:line="570" w:lineRule="exact"/>
        <w:ind w:firstLine="652" w:firstLineChars="200"/>
        <w:rPr>
          <w:rFonts w:hint="eastAsia" w:ascii="仿宋_GB2312" w:hAnsi="宋体" w:eastAsia="仿宋_GB2312" w:cs="宋体"/>
          <w:color w:val="auto"/>
          <w:spacing w:val="3"/>
          <w:sz w:val="32"/>
          <w:szCs w:val="32"/>
        </w:rPr>
      </w:pPr>
      <w:r>
        <w:rPr>
          <w:rFonts w:hint="eastAsia" w:ascii="仿宋_GB2312" w:hAnsi="宋体" w:eastAsia="仿宋_GB2312" w:cs="宋体"/>
          <w:color w:val="auto"/>
          <w:spacing w:val="3"/>
          <w:sz w:val="32"/>
          <w:szCs w:val="32"/>
          <w:lang w:eastAsia="zh-CN"/>
        </w:rPr>
        <w:t>2026</w:t>
      </w:r>
      <w:r>
        <w:rPr>
          <w:rFonts w:hint="eastAsia" w:ascii="仿宋_GB2312" w:hAnsi="宋体" w:eastAsia="仿宋_GB2312" w:cs="宋体"/>
          <w:color w:val="auto"/>
          <w:spacing w:val="3"/>
          <w:sz w:val="32"/>
          <w:szCs w:val="32"/>
        </w:rPr>
        <w:t>年9月2</w:t>
      </w:r>
      <w:r>
        <w:rPr>
          <w:rFonts w:hint="eastAsia" w:ascii="仿宋_GB2312" w:hAnsi="宋体" w:eastAsia="仿宋_GB2312" w:cs="宋体"/>
          <w:color w:val="auto"/>
          <w:spacing w:val="3"/>
          <w:sz w:val="32"/>
          <w:szCs w:val="32"/>
          <w:lang w:val="en-US" w:eastAsia="zh-CN"/>
        </w:rPr>
        <w:t>1</w:t>
      </w:r>
      <w:r>
        <w:rPr>
          <w:rFonts w:hint="eastAsia" w:ascii="仿宋_GB2312" w:hAnsi="宋体" w:eastAsia="仿宋_GB2312" w:cs="宋体"/>
          <w:color w:val="auto"/>
          <w:spacing w:val="3"/>
          <w:sz w:val="32"/>
          <w:szCs w:val="32"/>
        </w:rPr>
        <w:t>-25日</w:t>
      </w:r>
      <w:r>
        <w:rPr>
          <w:rFonts w:hint="eastAsia" w:ascii="仿宋_GB2312" w:hAnsi="宋体" w:eastAsia="仿宋_GB2312" w:cs="宋体"/>
          <w:color w:val="auto"/>
          <w:spacing w:val="3"/>
          <w:sz w:val="32"/>
          <w:szCs w:val="32"/>
        </w:rPr>
        <w:t>，完成研究生的申请材料审核工作；</w:t>
      </w:r>
    </w:p>
    <w:p w14:paraId="060B1D76">
      <w:pPr>
        <w:spacing w:line="570" w:lineRule="exact"/>
        <w:ind w:firstLine="652" w:firstLineChars="200"/>
        <w:rPr>
          <w:rFonts w:hint="eastAsia" w:ascii="仿宋_GB2312" w:hAnsi="宋体" w:eastAsia="仿宋_GB2312" w:cs="宋体"/>
          <w:color w:val="auto"/>
          <w:spacing w:val="3"/>
          <w:sz w:val="32"/>
          <w:szCs w:val="32"/>
        </w:rPr>
      </w:pPr>
      <w:r>
        <w:rPr>
          <w:rFonts w:hint="eastAsia" w:ascii="仿宋_GB2312" w:hAnsi="宋体" w:eastAsia="仿宋_GB2312" w:cs="宋体"/>
          <w:color w:val="auto"/>
          <w:spacing w:val="3"/>
          <w:sz w:val="32"/>
          <w:szCs w:val="32"/>
          <w:lang w:eastAsia="zh-CN"/>
        </w:rPr>
        <w:t>2026</w:t>
      </w:r>
      <w:r>
        <w:rPr>
          <w:rFonts w:hint="eastAsia" w:ascii="仿宋_GB2312" w:hAnsi="宋体" w:eastAsia="仿宋_GB2312" w:cs="宋体"/>
          <w:color w:val="auto"/>
          <w:spacing w:val="3"/>
          <w:sz w:val="32"/>
          <w:szCs w:val="32"/>
        </w:rPr>
        <w:t>年9月26-2</w:t>
      </w:r>
      <w:r>
        <w:rPr>
          <w:rFonts w:hint="eastAsia" w:ascii="仿宋_GB2312" w:hAnsi="宋体" w:eastAsia="仿宋_GB2312" w:cs="宋体"/>
          <w:color w:val="auto"/>
          <w:spacing w:val="3"/>
          <w:sz w:val="32"/>
          <w:szCs w:val="32"/>
          <w:lang w:val="en-US" w:eastAsia="zh-CN"/>
        </w:rPr>
        <w:t>8</w:t>
      </w:r>
      <w:r>
        <w:rPr>
          <w:rFonts w:hint="eastAsia" w:ascii="仿宋_GB2312" w:hAnsi="宋体" w:eastAsia="仿宋_GB2312" w:cs="宋体"/>
          <w:color w:val="auto"/>
          <w:spacing w:val="3"/>
          <w:sz w:val="32"/>
          <w:szCs w:val="32"/>
        </w:rPr>
        <w:t>日</w:t>
      </w:r>
      <w:r>
        <w:rPr>
          <w:rFonts w:hint="eastAsia" w:ascii="仿宋_GB2312" w:hAnsi="宋体" w:eastAsia="仿宋_GB2312" w:cs="宋体"/>
          <w:color w:val="auto"/>
          <w:spacing w:val="3"/>
          <w:sz w:val="32"/>
          <w:szCs w:val="32"/>
        </w:rPr>
        <w:t>，根据实施细则进行评选，确定拟推荐名单；</w:t>
      </w:r>
    </w:p>
    <w:p w14:paraId="060B1D77">
      <w:pPr>
        <w:spacing w:line="570" w:lineRule="exact"/>
        <w:ind w:right="28" w:firstLine="652" w:firstLineChars="200"/>
        <w:rPr>
          <w:rFonts w:hint="eastAsia" w:ascii="仿宋_GB2312" w:hAnsi="宋体" w:eastAsia="仿宋_GB2312" w:cs="宋体"/>
          <w:color w:val="auto"/>
          <w:spacing w:val="3"/>
          <w:sz w:val="32"/>
          <w:szCs w:val="32"/>
        </w:rPr>
      </w:pPr>
      <w:r>
        <w:rPr>
          <w:rFonts w:hint="eastAsia" w:ascii="仿宋_GB2312" w:hAnsi="宋体" w:eastAsia="仿宋_GB2312" w:cs="宋体"/>
          <w:color w:val="auto"/>
          <w:spacing w:val="3"/>
          <w:sz w:val="32"/>
          <w:szCs w:val="32"/>
          <w:lang w:eastAsia="zh-CN"/>
        </w:rPr>
        <w:t>2026</w:t>
      </w:r>
      <w:r>
        <w:rPr>
          <w:rFonts w:hint="eastAsia" w:ascii="仿宋_GB2312" w:hAnsi="宋体" w:eastAsia="仿宋_GB2312" w:cs="宋体"/>
          <w:color w:val="auto"/>
          <w:spacing w:val="3"/>
          <w:sz w:val="32"/>
          <w:szCs w:val="32"/>
        </w:rPr>
        <w:t>年9月29日-10月12日</w:t>
      </w:r>
      <w:r>
        <w:rPr>
          <w:rFonts w:hint="eastAsia" w:ascii="仿宋_GB2312" w:hAnsi="宋体" w:eastAsia="仿宋_GB2312" w:cs="宋体"/>
          <w:color w:val="auto"/>
          <w:spacing w:val="3"/>
          <w:sz w:val="32"/>
          <w:szCs w:val="32"/>
        </w:rPr>
        <w:t>，完成拟推荐名单的公示及相关工作。</w:t>
      </w:r>
    </w:p>
    <w:p w14:paraId="060B1D78">
      <w:pPr>
        <w:spacing w:line="570" w:lineRule="exact"/>
        <w:ind w:left="38" w:right="28" w:firstLine="655" w:firstLineChars="200"/>
        <w:jc w:val="both"/>
        <w:rPr>
          <w:rFonts w:hint="eastAsia" w:ascii="仿宋_GB2312" w:hAnsi="宋体" w:eastAsia="仿宋_GB2312" w:cs="宋体"/>
          <w:color w:val="auto"/>
          <w:sz w:val="32"/>
          <w:szCs w:val="32"/>
        </w:rPr>
      </w:pPr>
      <w:r>
        <w:rPr>
          <w:rFonts w:hint="eastAsia" w:ascii="仿宋_GB2312" w:hAnsi="宋体" w:eastAsia="仿宋_GB2312" w:cs="宋体"/>
          <w:b/>
          <w:bCs/>
          <w:color w:val="auto"/>
          <w:spacing w:val="3"/>
          <w:sz w:val="32"/>
          <w:szCs w:val="32"/>
        </w:rPr>
        <w:t>第十</w:t>
      </w:r>
      <w:r>
        <w:rPr>
          <w:rFonts w:hint="eastAsia" w:ascii="仿宋_GB2312" w:hAnsi="宋体" w:eastAsia="仿宋_GB2312" w:cs="宋体"/>
          <w:b/>
          <w:bCs/>
          <w:color w:val="auto"/>
          <w:spacing w:val="3"/>
          <w:sz w:val="32"/>
          <w:szCs w:val="32"/>
          <w:lang w:val="en-US" w:eastAsia="zh-CN"/>
        </w:rPr>
        <w:t>一</w:t>
      </w:r>
      <w:r>
        <w:rPr>
          <w:rFonts w:hint="eastAsia" w:ascii="仿宋_GB2312" w:hAnsi="宋体" w:eastAsia="仿宋_GB2312" w:cs="宋体"/>
          <w:b/>
          <w:bCs/>
          <w:color w:val="auto"/>
          <w:spacing w:val="3"/>
          <w:sz w:val="32"/>
          <w:szCs w:val="32"/>
        </w:rPr>
        <w:t>条</w:t>
      </w:r>
      <w:r>
        <w:rPr>
          <w:rFonts w:hint="eastAsia" w:ascii="仿宋_GB2312" w:hAnsi="宋体" w:eastAsia="仿宋_GB2312" w:cs="宋体"/>
          <w:color w:val="auto"/>
          <w:spacing w:val="4"/>
          <w:sz w:val="32"/>
          <w:szCs w:val="32"/>
        </w:rPr>
        <w:t xml:space="preserve"> </w:t>
      </w:r>
      <w:r>
        <w:rPr>
          <w:rFonts w:hint="eastAsia" w:ascii="仿宋_GB2312" w:hAnsi="宋体" w:eastAsia="仿宋_GB2312" w:cs="宋体"/>
          <w:color w:val="auto"/>
          <w:spacing w:val="3"/>
          <w:sz w:val="32"/>
          <w:szCs w:val="32"/>
        </w:rPr>
        <w:t>申诉。对研究生国家奖学金评审结果有异议的申请者</w:t>
      </w:r>
      <w:r>
        <w:rPr>
          <w:rFonts w:hint="eastAsia" w:ascii="仿宋_GB2312" w:hAnsi="宋体" w:eastAsia="仿宋_GB2312" w:cs="宋体"/>
          <w:color w:val="auto"/>
          <w:spacing w:val="4"/>
          <w:sz w:val="32"/>
          <w:szCs w:val="32"/>
        </w:rPr>
        <w:t>，</w:t>
      </w:r>
      <w:r>
        <w:rPr>
          <w:rFonts w:hint="eastAsia" w:ascii="仿宋_GB2312" w:hAnsi="宋体" w:eastAsia="仿宋_GB2312" w:cs="宋体"/>
          <w:color w:val="auto"/>
          <w:spacing w:val="3"/>
          <w:sz w:val="32"/>
          <w:szCs w:val="32"/>
        </w:rPr>
        <w:t>可在本</w:t>
      </w:r>
      <w:r>
        <w:rPr>
          <w:rFonts w:hint="eastAsia" w:ascii="仿宋_GB2312" w:hAnsi="宋体" w:eastAsia="仿宋_GB2312" w:cs="宋体"/>
          <w:color w:val="auto"/>
          <w:sz w:val="32"/>
          <w:szCs w:val="32"/>
        </w:rPr>
        <w:t>院评审结果公布之日起5个工作日内向院</w:t>
      </w:r>
      <w:r>
        <w:rPr>
          <w:rFonts w:hint="eastAsia" w:ascii="仿宋_GB2312" w:hAnsi="宋体" w:eastAsia="仿宋_GB2312" w:cs="宋体"/>
          <w:color w:val="auto"/>
          <w:spacing w:val="3"/>
          <w:sz w:val="32"/>
          <w:szCs w:val="32"/>
        </w:rPr>
        <w:t>评奖评优</w:t>
      </w:r>
      <w:r>
        <w:rPr>
          <w:rFonts w:hint="eastAsia" w:ascii="仿宋_GB2312" w:hAnsi="宋体" w:eastAsia="仿宋_GB2312" w:cs="宋体"/>
          <w:color w:val="auto"/>
          <w:sz w:val="32"/>
          <w:szCs w:val="32"/>
        </w:rPr>
        <w:t>工</w:t>
      </w:r>
      <w:r>
        <w:rPr>
          <w:rFonts w:hint="eastAsia" w:ascii="仿宋_GB2312" w:hAnsi="宋体" w:eastAsia="仿宋_GB2312" w:cs="宋体"/>
          <w:color w:val="auto"/>
          <w:spacing w:val="3"/>
          <w:sz w:val="32"/>
          <w:szCs w:val="32"/>
        </w:rPr>
        <w:t>作领导</w:t>
      </w:r>
      <w:r>
        <w:rPr>
          <w:rFonts w:hint="eastAsia" w:ascii="仿宋_GB2312" w:hAnsi="宋体" w:eastAsia="仿宋_GB2312" w:cs="宋体"/>
          <w:color w:val="auto"/>
          <w:sz w:val="32"/>
          <w:szCs w:val="32"/>
        </w:rPr>
        <w:t>小组提出书面申诉</w:t>
      </w:r>
      <w:r>
        <w:rPr>
          <w:rFonts w:hint="eastAsia" w:ascii="仿宋_GB2312" w:hAnsi="宋体" w:eastAsia="仿宋_GB2312" w:cs="宋体"/>
          <w:color w:val="auto"/>
          <w:spacing w:val="-32"/>
          <w:sz w:val="32"/>
          <w:szCs w:val="32"/>
        </w:rPr>
        <w:t>，</w:t>
      </w:r>
      <w:r>
        <w:rPr>
          <w:rFonts w:hint="eastAsia" w:ascii="仿宋_GB2312" w:hAnsi="宋体" w:eastAsia="仿宋_GB2312" w:cs="宋体"/>
          <w:color w:val="auto"/>
          <w:sz w:val="32"/>
          <w:szCs w:val="32"/>
        </w:rPr>
        <w:t>工作小组应在接受申诉</w:t>
      </w:r>
      <w:r>
        <w:rPr>
          <w:rFonts w:hint="eastAsia" w:ascii="仿宋_GB2312" w:hAnsi="宋体" w:eastAsia="仿宋_GB2312" w:cs="宋体"/>
          <w:color w:val="auto"/>
          <w:spacing w:val="-1"/>
          <w:sz w:val="32"/>
          <w:szCs w:val="32"/>
        </w:rPr>
        <w:t>后</w:t>
      </w:r>
      <w:r>
        <w:rPr>
          <w:rFonts w:hint="eastAsia" w:ascii="仿宋_GB2312" w:hAnsi="宋体" w:eastAsia="仿宋_GB2312" w:cs="宋体"/>
          <w:color w:val="auto"/>
          <w:sz w:val="32"/>
          <w:szCs w:val="32"/>
        </w:rPr>
        <w:t>5个工作日内做出答复</w:t>
      </w:r>
      <w:r>
        <w:rPr>
          <w:rFonts w:hint="eastAsia" w:ascii="仿宋_GB2312" w:hAnsi="宋体" w:eastAsia="仿宋_GB2312" w:cs="宋体"/>
          <w:color w:val="auto"/>
          <w:spacing w:val="-17"/>
          <w:sz w:val="32"/>
          <w:szCs w:val="32"/>
        </w:rPr>
        <w:t>。</w:t>
      </w:r>
      <w:r>
        <w:rPr>
          <w:rFonts w:hint="eastAsia" w:ascii="仿宋_GB2312" w:hAnsi="宋体" w:eastAsia="仿宋_GB2312" w:cs="宋体"/>
          <w:color w:val="auto"/>
          <w:sz w:val="32"/>
          <w:szCs w:val="32"/>
        </w:rPr>
        <w:t>如对评审答复仍有异议</w:t>
      </w:r>
      <w:r>
        <w:rPr>
          <w:rFonts w:hint="eastAsia" w:ascii="仿宋_GB2312" w:hAnsi="宋体" w:eastAsia="仿宋_GB2312" w:cs="宋体"/>
          <w:color w:val="auto"/>
          <w:spacing w:val="-17"/>
          <w:sz w:val="32"/>
          <w:szCs w:val="32"/>
        </w:rPr>
        <w:t>，</w:t>
      </w:r>
      <w:r>
        <w:rPr>
          <w:rFonts w:hint="eastAsia" w:ascii="仿宋_GB2312" w:hAnsi="宋体" w:eastAsia="仿宋_GB2312" w:cs="宋体"/>
          <w:color w:val="auto"/>
          <w:sz w:val="32"/>
          <w:szCs w:val="32"/>
        </w:rPr>
        <w:t>可在</w:t>
      </w:r>
      <w:r>
        <w:rPr>
          <w:rFonts w:hint="eastAsia" w:ascii="仿宋_GB2312" w:hAnsi="宋体" w:eastAsia="仿宋_GB2312" w:cs="宋体"/>
          <w:color w:val="auto"/>
          <w:spacing w:val="-1"/>
          <w:sz w:val="32"/>
          <w:szCs w:val="32"/>
        </w:rPr>
        <w:t>工作小组</w:t>
      </w:r>
      <w:r>
        <w:rPr>
          <w:rFonts w:hint="eastAsia" w:ascii="仿宋_GB2312" w:hAnsi="宋体" w:eastAsia="仿宋_GB2312" w:cs="宋体"/>
          <w:color w:val="auto"/>
          <w:sz w:val="32"/>
          <w:szCs w:val="32"/>
        </w:rPr>
        <w:t>答复后5个工作日内向学校研究生院提起申诉</w:t>
      </w:r>
      <w:r>
        <w:rPr>
          <w:rFonts w:hint="eastAsia" w:ascii="仿宋_GB2312" w:hAnsi="宋体" w:eastAsia="仿宋_GB2312" w:cs="宋体"/>
          <w:color w:val="auto"/>
          <w:spacing w:val="-141"/>
          <w:sz w:val="32"/>
          <w:szCs w:val="32"/>
        </w:rPr>
        <w:t>。</w:t>
      </w:r>
    </w:p>
    <w:p w14:paraId="060B1D79">
      <w:pPr>
        <w:spacing w:line="570" w:lineRule="exact"/>
        <w:ind w:left="88" w:right="26" w:firstLine="643" w:firstLineChars="200"/>
        <w:jc w:val="both"/>
        <w:rPr>
          <w:rFonts w:hint="eastAsia" w:ascii="仿宋_GB2312" w:hAnsi="宋体" w:eastAsia="仿宋_GB2312" w:cs="宋体"/>
          <w:color w:val="auto"/>
          <w:sz w:val="32"/>
          <w:szCs w:val="32"/>
        </w:rPr>
      </w:pPr>
      <w:r>
        <w:rPr>
          <w:rFonts w:hint="eastAsia" w:ascii="仿宋_GB2312" w:hAnsi="宋体" w:eastAsia="仿宋_GB2312" w:cs="宋体"/>
          <w:b/>
          <w:bCs/>
          <w:color w:val="auto"/>
          <w:sz w:val="32"/>
          <w:szCs w:val="32"/>
        </w:rPr>
        <w:t>第十</w:t>
      </w:r>
      <w:r>
        <w:rPr>
          <w:rFonts w:hint="eastAsia" w:ascii="仿宋_GB2312" w:hAnsi="宋体" w:eastAsia="仿宋_GB2312" w:cs="宋体"/>
          <w:b/>
          <w:bCs/>
          <w:color w:val="auto"/>
          <w:sz w:val="32"/>
          <w:szCs w:val="32"/>
          <w:lang w:val="en-US" w:eastAsia="zh-CN"/>
        </w:rPr>
        <w:t>二</w:t>
      </w:r>
      <w:r>
        <w:rPr>
          <w:rFonts w:hint="eastAsia" w:ascii="仿宋_GB2312" w:hAnsi="宋体" w:eastAsia="仿宋_GB2312" w:cs="宋体"/>
          <w:b/>
          <w:bCs/>
          <w:color w:val="auto"/>
          <w:sz w:val="32"/>
          <w:szCs w:val="32"/>
        </w:rPr>
        <w:t>条</w:t>
      </w:r>
      <w:r>
        <w:rPr>
          <w:rFonts w:ascii="仿宋_GB2312" w:hAnsi="宋体" w:eastAsia="仿宋_GB2312" w:cs="宋体"/>
          <w:color w:val="auto"/>
          <w:spacing w:val="-1"/>
          <w:sz w:val="32"/>
          <w:szCs w:val="32"/>
        </w:rPr>
        <w:tab/>
      </w:r>
      <w:r>
        <w:rPr>
          <w:rFonts w:ascii="仿宋_GB2312" w:hAnsi="宋体" w:eastAsia="仿宋_GB2312" w:cs="宋体"/>
          <w:color w:val="auto"/>
          <w:spacing w:val="-1"/>
          <w:sz w:val="32"/>
          <w:szCs w:val="32"/>
        </w:rPr>
        <w:t xml:space="preserve"> </w:t>
      </w:r>
      <w:r>
        <w:rPr>
          <w:rFonts w:hint="eastAsia" w:ascii="仿宋_GB2312" w:hAnsi="宋体" w:eastAsia="仿宋_GB2312" w:cs="宋体"/>
          <w:color w:val="auto"/>
          <w:sz w:val="32"/>
          <w:szCs w:val="32"/>
        </w:rPr>
        <w:t>本实施细则由商船学院研究生评奖评优工作领导小组负责解释</w:t>
      </w:r>
      <w:r>
        <w:rPr>
          <w:rFonts w:hint="eastAsia" w:ascii="仿宋_GB2312" w:hAnsi="宋体" w:eastAsia="仿宋_GB2312" w:cs="宋体"/>
          <w:color w:val="auto"/>
          <w:spacing w:val="-33"/>
          <w:sz w:val="32"/>
          <w:szCs w:val="32"/>
        </w:rPr>
        <w:t>，</w:t>
      </w:r>
      <w:r>
        <w:rPr>
          <w:rFonts w:hint="eastAsia" w:ascii="仿宋_GB2312" w:hAnsi="宋体" w:eastAsia="仿宋_GB2312" w:cs="宋体"/>
          <w:color w:val="auto"/>
          <w:sz w:val="32"/>
          <w:szCs w:val="32"/>
        </w:rPr>
        <w:t>自公布之日起实行</w:t>
      </w:r>
      <w:r>
        <w:rPr>
          <w:rFonts w:hint="eastAsia" w:ascii="仿宋_GB2312" w:hAnsi="宋体" w:eastAsia="仿宋_GB2312" w:cs="宋体"/>
          <w:color w:val="auto"/>
          <w:spacing w:val="-57"/>
          <w:sz w:val="32"/>
          <w:szCs w:val="32"/>
        </w:rPr>
        <w:t>。</w:t>
      </w:r>
    </w:p>
    <w:p w14:paraId="060B1D7B">
      <w:pPr>
        <w:spacing w:line="570" w:lineRule="exact"/>
        <w:rPr>
          <w:rFonts w:ascii="仿宋_GB2312" w:eastAsia="仿宋_GB2312"/>
          <w:color w:val="auto"/>
          <w:sz w:val="32"/>
          <w:szCs w:val="32"/>
        </w:rPr>
      </w:pPr>
    </w:p>
    <w:p w14:paraId="060B1D7C">
      <w:pPr>
        <w:spacing w:line="570" w:lineRule="exact"/>
        <w:ind w:right="320" w:firstLine="640" w:firstLineChars="200"/>
        <w:jc w:val="right"/>
        <w:rPr>
          <w:rFonts w:hint="eastAsia" w:ascii="仿宋_GB2312" w:hAnsi="宋体" w:eastAsia="仿宋_GB2312" w:cs="宋体"/>
          <w:color w:val="auto"/>
          <w:sz w:val="32"/>
          <w:szCs w:val="32"/>
        </w:rPr>
        <w:sectPr>
          <w:footerReference r:id="rId3" w:type="default"/>
          <w:pgSz w:w="11907" w:h="16839"/>
          <w:pgMar w:top="2098" w:right="1474" w:bottom="1985" w:left="1588" w:header="567" w:footer="851" w:gutter="0"/>
          <w:pgNumType w:fmt="numberInDash"/>
          <w:cols w:space="720" w:num="1"/>
        </w:sectPr>
      </w:pPr>
    </w:p>
    <w:p w14:paraId="060B1D7D">
      <w:pPr>
        <w:spacing w:line="570" w:lineRule="exact"/>
        <w:jc w:val="center"/>
        <w:rPr>
          <w:rFonts w:hint="eastAsia" w:ascii="方正小标宋简体" w:hAnsi="黑体" w:eastAsia="方正小标宋简体" w:cs="黑体"/>
          <w:color w:val="auto"/>
          <w:sz w:val="44"/>
          <w:szCs w:val="44"/>
        </w:rPr>
      </w:pPr>
      <w:r>
        <w:rPr>
          <w:rFonts w:hint="eastAsia" w:ascii="方正小标宋简体" w:hAnsi="黑体" w:eastAsia="方正小标宋简体" w:cs="黑体"/>
          <w:color w:val="auto"/>
          <w:spacing w:val="-2"/>
          <w:sz w:val="44"/>
          <w:szCs w:val="44"/>
          <w:lang w:eastAsia="zh-CN"/>
        </w:rPr>
        <w:t>2026</w:t>
      </w:r>
      <w:r>
        <w:rPr>
          <w:rFonts w:hint="eastAsia" w:ascii="方正小标宋简体" w:hAnsi="黑体" w:eastAsia="方正小标宋简体" w:cs="黑体"/>
          <w:color w:val="auto"/>
          <w:spacing w:val="-51"/>
          <w:sz w:val="44"/>
          <w:szCs w:val="44"/>
        </w:rPr>
        <w:t xml:space="preserve"> </w:t>
      </w:r>
      <w:r>
        <w:rPr>
          <w:rFonts w:hint="eastAsia" w:ascii="方正小标宋简体" w:hAnsi="黑体" w:eastAsia="方正小标宋简体" w:cs="黑体"/>
          <w:color w:val="auto"/>
          <w:spacing w:val="-1"/>
          <w:sz w:val="44"/>
          <w:szCs w:val="44"/>
        </w:rPr>
        <w:t>年商船学院研究生国家奖学金计分表</w:t>
      </w:r>
    </w:p>
    <w:p w14:paraId="060B1D7E">
      <w:pPr>
        <w:spacing w:line="570" w:lineRule="exact"/>
        <w:ind w:firstLine="420" w:firstLineChars="200"/>
        <w:rPr>
          <w:color w:val="auto"/>
        </w:rPr>
      </w:pPr>
    </w:p>
    <w:p w14:paraId="060B1D7F">
      <w:pPr>
        <w:spacing w:line="570" w:lineRule="exact"/>
        <w:jc w:val="center"/>
        <w:rPr>
          <w:rFonts w:hint="eastAsia" w:ascii="黑体" w:hAnsi="黑体" w:eastAsia="黑体" w:cs="黑体"/>
          <w:color w:val="auto"/>
          <w:sz w:val="28"/>
          <w:szCs w:val="28"/>
        </w:rPr>
      </w:pPr>
      <w:r>
        <w:rPr>
          <w:rFonts w:ascii="黑体" w:hAnsi="黑体" w:eastAsia="黑体" w:cs="黑体"/>
          <w:color w:val="auto"/>
          <w:sz w:val="28"/>
          <w:szCs w:val="28"/>
        </w:rPr>
        <w:t>专业</w:t>
      </w:r>
      <w:r>
        <w:rPr>
          <w:rFonts w:ascii="黑体" w:hAnsi="黑体" w:eastAsia="黑体" w:cs="黑体"/>
          <w:color w:val="auto"/>
          <w:spacing w:val="-4"/>
          <w:sz w:val="28"/>
          <w:szCs w:val="28"/>
        </w:rPr>
        <w:t>：</w:t>
      </w:r>
      <w:r>
        <w:rPr>
          <w:rFonts w:ascii="黑体" w:hAnsi="黑体" w:eastAsia="黑体" w:cs="黑体"/>
          <w:color w:val="auto"/>
          <w:spacing w:val="-140"/>
          <w:sz w:val="28"/>
          <w:szCs w:val="28"/>
        </w:rPr>
        <w:t xml:space="preserve"> </w:t>
      </w:r>
      <w:r>
        <w:rPr>
          <w:rFonts w:ascii="黑体" w:hAnsi="黑体" w:eastAsia="黑体" w:cs="黑体"/>
          <w:color w:val="auto"/>
          <w:sz w:val="28"/>
          <w:szCs w:val="28"/>
        </w:rPr>
        <w:t>____________ 学号</w:t>
      </w:r>
      <w:r>
        <w:rPr>
          <w:rFonts w:ascii="黑体" w:hAnsi="黑体" w:eastAsia="黑体" w:cs="黑体"/>
          <w:color w:val="auto"/>
          <w:spacing w:val="-4"/>
          <w:sz w:val="28"/>
          <w:szCs w:val="28"/>
        </w:rPr>
        <w:t>：</w:t>
      </w:r>
      <w:r>
        <w:rPr>
          <w:rFonts w:ascii="黑体" w:hAnsi="黑体" w:eastAsia="黑体" w:cs="黑体"/>
          <w:color w:val="auto"/>
          <w:spacing w:val="-140"/>
          <w:sz w:val="28"/>
          <w:szCs w:val="28"/>
        </w:rPr>
        <w:t xml:space="preserve"> </w:t>
      </w:r>
      <w:r>
        <w:rPr>
          <w:rFonts w:ascii="黑体" w:hAnsi="黑体" w:eastAsia="黑体" w:cs="黑体"/>
          <w:color w:val="auto"/>
          <w:sz w:val="28"/>
          <w:szCs w:val="28"/>
        </w:rPr>
        <w:t>____________姓名</w:t>
      </w:r>
      <w:r>
        <w:rPr>
          <w:rFonts w:ascii="黑体" w:hAnsi="黑体" w:eastAsia="黑体" w:cs="黑体"/>
          <w:color w:val="auto"/>
          <w:spacing w:val="-4"/>
          <w:sz w:val="28"/>
          <w:szCs w:val="28"/>
        </w:rPr>
        <w:t>：</w:t>
      </w:r>
      <w:r>
        <w:rPr>
          <w:rFonts w:ascii="黑体" w:hAnsi="黑体" w:eastAsia="黑体" w:cs="黑体"/>
          <w:color w:val="auto"/>
          <w:spacing w:val="-140"/>
          <w:sz w:val="28"/>
          <w:szCs w:val="28"/>
        </w:rPr>
        <w:t xml:space="preserve"> </w:t>
      </w:r>
      <w:r>
        <w:rPr>
          <w:rFonts w:ascii="黑体" w:hAnsi="黑体" w:eastAsia="黑体" w:cs="黑体"/>
          <w:color w:val="auto"/>
          <w:sz w:val="28"/>
          <w:szCs w:val="28"/>
        </w:rPr>
        <w:t>__________</w:t>
      </w:r>
    </w:p>
    <w:p w14:paraId="060B1D80">
      <w:pPr>
        <w:spacing w:line="570" w:lineRule="exact"/>
        <w:rPr>
          <w:color w:val="auto"/>
        </w:rPr>
      </w:pPr>
    </w:p>
    <w:tbl>
      <w:tblPr>
        <w:tblStyle w:val="10"/>
        <w:tblW w:w="87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5"/>
        <w:gridCol w:w="1408"/>
        <w:gridCol w:w="851"/>
        <w:gridCol w:w="709"/>
        <w:gridCol w:w="708"/>
        <w:gridCol w:w="709"/>
        <w:gridCol w:w="992"/>
        <w:gridCol w:w="2273"/>
      </w:tblGrid>
      <w:tr w14:paraId="060B1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065" w:type="dxa"/>
            <w:vAlign w:val="center"/>
          </w:tcPr>
          <w:p w14:paraId="060B1D81">
            <w:pPr>
              <w:spacing w:line="240" w:lineRule="exact"/>
              <w:jc w:val="center"/>
              <w:rPr>
                <w:rFonts w:hint="eastAsia" w:ascii="宋体" w:hAnsi="宋体" w:eastAsia="宋体" w:cs="宋体"/>
                <w:color w:val="auto"/>
                <w:spacing w:val="-3"/>
              </w:rPr>
            </w:pPr>
            <w:r>
              <w:rPr>
                <w:rFonts w:ascii="宋体" w:hAnsi="宋体" w:eastAsia="宋体" w:cs="宋体"/>
                <w:color w:val="auto"/>
                <w:spacing w:val="-2"/>
              </w:rPr>
              <w:t>一级指标</w:t>
            </w:r>
          </w:p>
        </w:tc>
        <w:tc>
          <w:tcPr>
            <w:tcW w:w="1408" w:type="dxa"/>
            <w:vAlign w:val="center"/>
          </w:tcPr>
          <w:p w14:paraId="060B1D82">
            <w:pPr>
              <w:spacing w:line="240" w:lineRule="exact"/>
              <w:ind w:left="110" w:right="104"/>
              <w:jc w:val="center"/>
              <w:rPr>
                <w:rFonts w:hint="eastAsia" w:ascii="宋体" w:hAnsi="宋体" w:eastAsia="宋体" w:cs="宋体"/>
                <w:color w:val="auto"/>
              </w:rPr>
            </w:pPr>
            <w:r>
              <w:rPr>
                <w:rFonts w:ascii="宋体" w:hAnsi="宋体" w:eastAsia="宋体" w:cs="宋体"/>
                <w:color w:val="auto"/>
                <w:spacing w:val="-2"/>
              </w:rPr>
              <w:t>二级指标</w:t>
            </w:r>
          </w:p>
        </w:tc>
        <w:tc>
          <w:tcPr>
            <w:tcW w:w="3969" w:type="dxa"/>
            <w:gridSpan w:val="5"/>
            <w:vAlign w:val="center"/>
          </w:tcPr>
          <w:p w14:paraId="060B1D83">
            <w:pPr>
              <w:spacing w:line="240" w:lineRule="exact"/>
              <w:ind w:firstLine="420" w:firstLineChars="200"/>
              <w:jc w:val="center"/>
              <w:rPr>
                <w:color w:val="auto"/>
              </w:rPr>
            </w:pPr>
            <w:r>
              <w:rPr>
                <w:rFonts w:hint="eastAsia" w:ascii="宋体" w:hAnsi="宋体" w:eastAsia="宋体" w:cs="宋体"/>
                <w:color w:val="auto"/>
              </w:rPr>
              <w:t>测评分数</w:t>
            </w:r>
          </w:p>
        </w:tc>
        <w:tc>
          <w:tcPr>
            <w:tcW w:w="2273" w:type="dxa"/>
            <w:vAlign w:val="center"/>
          </w:tcPr>
          <w:p w14:paraId="060B1D84">
            <w:pPr>
              <w:spacing w:line="240" w:lineRule="exact"/>
              <w:ind w:firstLine="420" w:firstLineChars="200"/>
              <w:jc w:val="center"/>
              <w:rPr>
                <w:rFonts w:hint="eastAsia" w:ascii="宋体" w:hAnsi="宋体" w:eastAsia="宋体" w:cs="宋体"/>
                <w:color w:val="auto"/>
              </w:rPr>
            </w:pPr>
            <w:r>
              <w:rPr>
                <w:rFonts w:hint="eastAsia" w:ascii="宋体" w:hAnsi="宋体" w:eastAsia="宋体" w:cs="宋体"/>
                <w:color w:val="auto"/>
              </w:rPr>
              <w:t>评价人</w:t>
            </w:r>
          </w:p>
        </w:tc>
      </w:tr>
      <w:tr w14:paraId="060B1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065" w:type="dxa"/>
            <w:vMerge w:val="restart"/>
            <w:vAlign w:val="center"/>
          </w:tcPr>
          <w:p w14:paraId="060B1D86">
            <w:pPr>
              <w:spacing w:line="240" w:lineRule="exact"/>
              <w:jc w:val="center"/>
              <w:rPr>
                <w:rFonts w:hint="eastAsia" w:ascii="宋体" w:hAnsi="宋体" w:eastAsia="宋体" w:cs="宋体"/>
                <w:color w:val="auto"/>
                <w:spacing w:val="-3"/>
              </w:rPr>
            </w:pPr>
            <w:r>
              <w:rPr>
                <w:rFonts w:ascii="宋体" w:hAnsi="宋体" w:eastAsia="宋体" w:cs="宋体"/>
                <w:color w:val="auto"/>
                <w:spacing w:val="-3"/>
              </w:rPr>
              <w:t>思</w:t>
            </w:r>
            <w:r>
              <w:rPr>
                <w:rFonts w:ascii="宋体" w:hAnsi="宋体" w:eastAsia="宋体" w:cs="宋体"/>
                <w:color w:val="auto"/>
                <w:spacing w:val="-2"/>
              </w:rPr>
              <w:t>想道德</w:t>
            </w:r>
          </w:p>
        </w:tc>
        <w:tc>
          <w:tcPr>
            <w:tcW w:w="1408" w:type="dxa"/>
            <w:vMerge w:val="restart"/>
            <w:vAlign w:val="center"/>
          </w:tcPr>
          <w:p w14:paraId="060B1D87">
            <w:pPr>
              <w:spacing w:line="240" w:lineRule="exact"/>
              <w:ind w:left="110" w:right="104"/>
              <w:jc w:val="center"/>
              <w:rPr>
                <w:rFonts w:hint="eastAsia" w:ascii="宋体" w:hAnsi="宋体" w:eastAsia="宋体" w:cs="宋体"/>
                <w:color w:val="auto"/>
              </w:rPr>
            </w:pPr>
            <w:r>
              <w:rPr>
                <w:rFonts w:hint="eastAsia" w:ascii="宋体" w:hAnsi="宋体" w:eastAsia="宋体" w:cs="宋体"/>
                <w:color w:val="auto"/>
              </w:rPr>
              <w:t>德育与实践测评(≦5分)</w:t>
            </w:r>
          </w:p>
        </w:tc>
        <w:tc>
          <w:tcPr>
            <w:tcW w:w="851" w:type="dxa"/>
            <w:vAlign w:val="center"/>
          </w:tcPr>
          <w:p w14:paraId="060B1D88">
            <w:pPr>
              <w:spacing w:line="240" w:lineRule="exact"/>
              <w:jc w:val="center"/>
              <w:rPr>
                <w:rFonts w:ascii="Times New Roman" w:hAnsi="Times New Roman" w:eastAsia="Times New Roman" w:cs="Times New Roman"/>
                <w:color w:val="auto"/>
              </w:rPr>
            </w:pPr>
            <w:r>
              <w:rPr>
                <w:rFonts w:hint="eastAsia" w:ascii="宋体" w:hAnsi="宋体" w:eastAsia="宋体" w:cs="宋体"/>
                <w:color w:val="auto"/>
              </w:rPr>
              <w:t>基本分</w:t>
            </w:r>
          </w:p>
        </w:tc>
        <w:tc>
          <w:tcPr>
            <w:tcW w:w="2126" w:type="dxa"/>
            <w:gridSpan w:val="3"/>
            <w:vAlign w:val="center"/>
          </w:tcPr>
          <w:p w14:paraId="060B1D89">
            <w:pPr>
              <w:spacing w:line="240" w:lineRule="exact"/>
              <w:jc w:val="center"/>
              <w:rPr>
                <w:rFonts w:ascii="Times New Roman" w:hAnsi="Times New Roman" w:eastAsia="Times New Roman" w:cs="Times New Roman"/>
                <w:color w:val="auto"/>
              </w:rPr>
            </w:pPr>
            <w:r>
              <w:rPr>
                <w:rFonts w:hint="eastAsia" w:ascii="宋体" w:hAnsi="宋体" w:eastAsia="宋体" w:cs="宋体"/>
                <w:color w:val="auto"/>
              </w:rPr>
              <w:t>加减分</w:t>
            </w:r>
          </w:p>
        </w:tc>
        <w:tc>
          <w:tcPr>
            <w:tcW w:w="992" w:type="dxa"/>
            <w:vMerge w:val="restart"/>
            <w:vAlign w:val="center"/>
          </w:tcPr>
          <w:p w14:paraId="060B1D8A">
            <w:pPr>
              <w:spacing w:line="240" w:lineRule="exact"/>
              <w:ind w:firstLine="420" w:firstLineChars="200"/>
              <w:jc w:val="center"/>
              <w:rPr>
                <w:color w:val="auto"/>
              </w:rPr>
            </w:pPr>
          </w:p>
        </w:tc>
        <w:tc>
          <w:tcPr>
            <w:tcW w:w="2273" w:type="dxa"/>
            <w:vMerge w:val="restart"/>
            <w:vAlign w:val="center"/>
          </w:tcPr>
          <w:p w14:paraId="060B1D8B">
            <w:pPr>
              <w:spacing w:line="240" w:lineRule="exact"/>
              <w:rPr>
                <w:rFonts w:hint="eastAsia" w:ascii="宋体" w:hAnsi="宋体" w:eastAsia="宋体" w:cs="宋体"/>
                <w:color w:val="auto"/>
              </w:rPr>
            </w:pPr>
            <w:r>
              <w:rPr>
                <w:rFonts w:ascii="宋体" w:hAnsi="宋体" w:eastAsia="宋体" w:cs="宋体"/>
                <w:color w:val="auto"/>
              </w:rPr>
              <w:t>辅导员签名</w:t>
            </w:r>
            <w:r>
              <w:rPr>
                <w:rFonts w:ascii="宋体" w:hAnsi="宋体" w:eastAsia="宋体" w:cs="宋体"/>
                <w:color w:val="auto"/>
                <w:spacing w:val="-7"/>
              </w:rPr>
              <w:t>：</w:t>
            </w:r>
          </w:p>
        </w:tc>
      </w:tr>
      <w:tr w14:paraId="060B1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065" w:type="dxa"/>
            <w:vMerge w:val="continue"/>
            <w:vAlign w:val="center"/>
          </w:tcPr>
          <w:p w14:paraId="060B1D8D">
            <w:pPr>
              <w:spacing w:line="240" w:lineRule="exact"/>
              <w:ind w:firstLine="420" w:firstLineChars="200"/>
              <w:jc w:val="center"/>
              <w:rPr>
                <w:rFonts w:hint="eastAsia" w:ascii="宋体" w:hAnsi="宋体" w:eastAsia="宋体" w:cs="宋体"/>
                <w:color w:val="auto"/>
              </w:rPr>
            </w:pPr>
          </w:p>
        </w:tc>
        <w:tc>
          <w:tcPr>
            <w:tcW w:w="1408" w:type="dxa"/>
            <w:vMerge w:val="continue"/>
            <w:vAlign w:val="center"/>
          </w:tcPr>
          <w:p w14:paraId="060B1D8E">
            <w:pPr>
              <w:spacing w:line="240" w:lineRule="exact"/>
              <w:ind w:left="110" w:right="104" w:firstLine="420" w:firstLineChars="200"/>
              <w:jc w:val="center"/>
              <w:rPr>
                <w:rFonts w:hint="eastAsia" w:ascii="宋体" w:hAnsi="宋体" w:eastAsia="宋体" w:cs="宋体"/>
                <w:color w:val="auto"/>
              </w:rPr>
            </w:pPr>
          </w:p>
        </w:tc>
        <w:tc>
          <w:tcPr>
            <w:tcW w:w="851" w:type="dxa"/>
            <w:vAlign w:val="center"/>
          </w:tcPr>
          <w:p w14:paraId="060B1D8F">
            <w:pPr>
              <w:spacing w:line="240" w:lineRule="exact"/>
              <w:jc w:val="center"/>
              <w:rPr>
                <w:rFonts w:ascii="Times New Roman" w:hAnsi="Times New Roman" w:cs="Times New Roman"/>
                <w:color w:val="auto"/>
              </w:rPr>
            </w:pPr>
            <w:r>
              <w:rPr>
                <w:rFonts w:hint="eastAsia" w:ascii="Times New Roman" w:hAnsi="Times New Roman" w:cs="Times New Roman"/>
                <w:color w:val="auto"/>
              </w:rPr>
              <w:t>2.5</w:t>
            </w:r>
          </w:p>
        </w:tc>
        <w:tc>
          <w:tcPr>
            <w:tcW w:w="2126" w:type="dxa"/>
            <w:gridSpan w:val="3"/>
            <w:vAlign w:val="center"/>
          </w:tcPr>
          <w:p w14:paraId="060B1D90">
            <w:pPr>
              <w:spacing w:line="240" w:lineRule="exact"/>
              <w:ind w:firstLine="420" w:firstLineChars="200"/>
              <w:jc w:val="center"/>
              <w:rPr>
                <w:rFonts w:ascii="Times New Roman" w:hAnsi="Times New Roman" w:eastAsia="Times New Roman" w:cs="Times New Roman"/>
                <w:color w:val="auto"/>
              </w:rPr>
            </w:pPr>
          </w:p>
        </w:tc>
        <w:tc>
          <w:tcPr>
            <w:tcW w:w="992" w:type="dxa"/>
            <w:vMerge w:val="continue"/>
            <w:vAlign w:val="center"/>
          </w:tcPr>
          <w:p w14:paraId="060B1D91">
            <w:pPr>
              <w:spacing w:line="240" w:lineRule="exact"/>
              <w:ind w:firstLine="420" w:firstLineChars="200"/>
              <w:jc w:val="center"/>
              <w:rPr>
                <w:color w:val="auto"/>
              </w:rPr>
            </w:pPr>
          </w:p>
        </w:tc>
        <w:tc>
          <w:tcPr>
            <w:tcW w:w="2273" w:type="dxa"/>
            <w:vMerge w:val="continue"/>
            <w:vAlign w:val="center"/>
          </w:tcPr>
          <w:p w14:paraId="060B1D92">
            <w:pPr>
              <w:spacing w:line="240" w:lineRule="exact"/>
              <w:ind w:firstLine="420" w:firstLineChars="200"/>
              <w:jc w:val="center"/>
              <w:rPr>
                <w:rFonts w:hint="eastAsia" w:ascii="宋体" w:hAnsi="宋体" w:eastAsia="宋体" w:cs="宋体"/>
                <w:color w:val="auto"/>
              </w:rPr>
            </w:pPr>
          </w:p>
        </w:tc>
      </w:tr>
      <w:tr w14:paraId="060B1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065" w:type="dxa"/>
            <w:vMerge w:val="restart"/>
            <w:vAlign w:val="center"/>
          </w:tcPr>
          <w:p w14:paraId="060B1D94">
            <w:pPr>
              <w:spacing w:line="240" w:lineRule="exact"/>
              <w:jc w:val="center"/>
              <w:rPr>
                <w:rFonts w:hint="eastAsia" w:ascii="宋体" w:hAnsi="宋体" w:eastAsia="宋体" w:cs="宋体"/>
                <w:color w:val="auto"/>
                <w:spacing w:val="-1"/>
              </w:rPr>
            </w:pPr>
            <w:r>
              <w:rPr>
                <w:rFonts w:ascii="宋体" w:hAnsi="宋体" w:eastAsia="宋体" w:cs="宋体"/>
                <w:color w:val="auto"/>
                <w:spacing w:val="-1"/>
              </w:rPr>
              <w:t>课程学习</w:t>
            </w:r>
          </w:p>
        </w:tc>
        <w:tc>
          <w:tcPr>
            <w:tcW w:w="1408" w:type="dxa"/>
            <w:vMerge w:val="restart"/>
            <w:vAlign w:val="center"/>
          </w:tcPr>
          <w:p w14:paraId="060B1D95">
            <w:pPr>
              <w:spacing w:line="240" w:lineRule="exact"/>
              <w:jc w:val="center"/>
              <w:rPr>
                <w:rFonts w:hint="eastAsia" w:ascii="宋体" w:hAnsi="宋体" w:eastAsia="宋体" w:cs="宋体"/>
                <w:color w:val="auto"/>
                <w:spacing w:val="-3"/>
              </w:rPr>
            </w:pPr>
            <w:r>
              <w:rPr>
                <w:rFonts w:ascii="宋体" w:hAnsi="宋体" w:eastAsia="宋体" w:cs="宋体"/>
                <w:color w:val="auto"/>
                <w:spacing w:val="-3"/>
              </w:rPr>
              <w:t>学</w:t>
            </w:r>
            <w:r>
              <w:rPr>
                <w:rFonts w:ascii="宋体" w:hAnsi="宋体" w:eastAsia="宋体" w:cs="宋体"/>
                <w:color w:val="auto"/>
                <w:spacing w:val="-2"/>
              </w:rPr>
              <w:t>习成绩</w:t>
            </w:r>
          </w:p>
        </w:tc>
        <w:tc>
          <w:tcPr>
            <w:tcW w:w="851" w:type="dxa"/>
            <w:vAlign w:val="center"/>
          </w:tcPr>
          <w:p w14:paraId="060B1D96">
            <w:pPr>
              <w:spacing w:line="240" w:lineRule="exact"/>
              <w:jc w:val="center"/>
              <w:rPr>
                <w:rFonts w:ascii="Times New Roman" w:hAnsi="Times New Roman" w:cs="Times New Roman"/>
                <w:color w:val="auto"/>
                <w:spacing w:val="-1"/>
              </w:rPr>
            </w:pPr>
            <w:r>
              <w:rPr>
                <w:rFonts w:ascii="Times New Roman" w:hAnsi="Times New Roman" w:cs="Times New Roman"/>
                <w:color w:val="auto"/>
                <w:spacing w:val="-1"/>
              </w:rPr>
              <w:t>A</w:t>
            </w:r>
          </w:p>
        </w:tc>
        <w:tc>
          <w:tcPr>
            <w:tcW w:w="709" w:type="dxa"/>
            <w:vAlign w:val="center"/>
          </w:tcPr>
          <w:p w14:paraId="060B1D97">
            <w:pPr>
              <w:spacing w:line="240" w:lineRule="exact"/>
              <w:jc w:val="center"/>
              <w:rPr>
                <w:rFonts w:ascii="Times New Roman" w:hAnsi="Times New Roman" w:cs="Times New Roman"/>
                <w:color w:val="auto"/>
                <w:spacing w:val="-6"/>
              </w:rPr>
            </w:pPr>
            <w:r>
              <w:rPr>
                <w:rFonts w:hint="eastAsia" w:ascii="Times New Roman" w:hAnsi="Times New Roman" w:cs="Times New Roman"/>
                <w:color w:val="auto"/>
                <w:spacing w:val="-6"/>
              </w:rPr>
              <w:t>B</w:t>
            </w:r>
          </w:p>
        </w:tc>
        <w:tc>
          <w:tcPr>
            <w:tcW w:w="708" w:type="dxa"/>
            <w:tcBorders>
              <w:right w:val="single" w:color="auto" w:sz="4" w:space="0"/>
            </w:tcBorders>
            <w:vAlign w:val="center"/>
          </w:tcPr>
          <w:p w14:paraId="060B1D98">
            <w:pPr>
              <w:spacing w:line="240" w:lineRule="exact"/>
              <w:jc w:val="center"/>
              <w:rPr>
                <w:rFonts w:ascii="Times New Roman" w:hAnsi="Times New Roman" w:cs="Times New Roman"/>
                <w:color w:val="auto"/>
                <w:spacing w:val="-6"/>
              </w:rPr>
            </w:pPr>
            <w:r>
              <w:rPr>
                <w:rFonts w:hint="eastAsia" w:ascii="Times New Roman" w:hAnsi="Times New Roman" w:cs="Times New Roman"/>
                <w:color w:val="auto"/>
                <w:spacing w:val="-6"/>
              </w:rPr>
              <w:t>C</w:t>
            </w:r>
          </w:p>
        </w:tc>
        <w:tc>
          <w:tcPr>
            <w:tcW w:w="709" w:type="dxa"/>
            <w:tcBorders>
              <w:left w:val="single" w:color="auto" w:sz="4" w:space="0"/>
            </w:tcBorders>
            <w:vAlign w:val="center"/>
          </w:tcPr>
          <w:p w14:paraId="060B1D99">
            <w:pPr>
              <w:spacing w:line="240" w:lineRule="exact"/>
              <w:jc w:val="center"/>
              <w:rPr>
                <w:rFonts w:ascii="Times New Roman" w:hAnsi="Times New Roman" w:cs="Times New Roman"/>
                <w:color w:val="auto"/>
              </w:rPr>
            </w:pPr>
            <w:r>
              <w:rPr>
                <w:rFonts w:hint="eastAsia" w:ascii="Times New Roman" w:hAnsi="Times New Roman" w:cs="Times New Roman"/>
                <w:color w:val="auto"/>
              </w:rPr>
              <w:t>D</w:t>
            </w:r>
          </w:p>
        </w:tc>
        <w:tc>
          <w:tcPr>
            <w:tcW w:w="992" w:type="dxa"/>
            <w:vMerge w:val="restart"/>
            <w:vAlign w:val="center"/>
          </w:tcPr>
          <w:p w14:paraId="060B1D9A">
            <w:pPr>
              <w:spacing w:line="240" w:lineRule="exact"/>
              <w:ind w:firstLine="420" w:firstLineChars="200"/>
              <w:jc w:val="center"/>
              <w:rPr>
                <w:color w:val="auto"/>
              </w:rPr>
            </w:pPr>
          </w:p>
        </w:tc>
        <w:tc>
          <w:tcPr>
            <w:tcW w:w="2273" w:type="dxa"/>
            <w:vMerge w:val="restart"/>
            <w:vAlign w:val="center"/>
          </w:tcPr>
          <w:p w14:paraId="060B1D9B">
            <w:pPr>
              <w:spacing w:line="240" w:lineRule="exact"/>
              <w:rPr>
                <w:rFonts w:hint="eastAsia" w:ascii="宋体" w:hAnsi="宋体" w:eastAsia="宋体" w:cs="宋体"/>
                <w:color w:val="auto"/>
              </w:rPr>
            </w:pPr>
            <w:r>
              <w:rPr>
                <w:rFonts w:ascii="宋体" w:hAnsi="宋体" w:eastAsia="宋体" w:cs="宋体"/>
                <w:color w:val="auto"/>
              </w:rPr>
              <w:t>教学秘书签名</w:t>
            </w:r>
            <w:r>
              <w:rPr>
                <w:rFonts w:ascii="宋体" w:hAnsi="宋体" w:eastAsia="宋体" w:cs="宋体"/>
                <w:color w:val="auto"/>
                <w:spacing w:val="-32"/>
              </w:rPr>
              <w:t>：</w:t>
            </w:r>
          </w:p>
        </w:tc>
      </w:tr>
      <w:tr w14:paraId="060B1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065" w:type="dxa"/>
            <w:vMerge w:val="continue"/>
            <w:vAlign w:val="center"/>
          </w:tcPr>
          <w:p w14:paraId="060B1D9D">
            <w:pPr>
              <w:spacing w:line="240" w:lineRule="exact"/>
              <w:ind w:firstLine="420" w:firstLineChars="200"/>
              <w:rPr>
                <w:rFonts w:hint="eastAsia" w:ascii="宋体" w:hAnsi="宋体" w:eastAsia="宋体" w:cs="宋体"/>
                <w:color w:val="auto"/>
              </w:rPr>
            </w:pPr>
          </w:p>
        </w:tc>
        <w:tc>
          <w:tcPr>
            <w:tcW w:w="1408" w:type="dxa"/>
            <w:vMerge w:val="continue"/>
            <w:vAlign w:val="center"/>
          </w:tcPr>
          <w:p w14:paraId="060B1D9E">
            <w:pPr>
              <w:spacing w:line="240" w:lineRule="exact"/>
              <w:ind w:firstLine="420" w:firstLineChars="200"/>
              <w:rPr>
                <w:rFonts w:hint="eastAsia" w:ascii="宋体" w:hAnsi="宋体" w:eastAsia="宋体" w:cs="宋体"/>
                <w:color w:val="auto"/>
              </w:rPr>
            </w:pPr>
          </w:p>
        </w:tc>
        <w:tc>
          <w:tcPr>
            <w:tcW w:w="851" w:type="dxa"/>
            <w:vAlign w:val="center"/>
          </w:tcPr>
          <w:p w14:paraId="060B1D9F">
            <w:pPr>
              <w:spacing w:line="240" w:lineRule="exact"/>
              <w:jc w:val="center"/>
              <w:rPr>
                <w:rFonts w:ascii="Times New Roman" w:hAnsi="Times New Roman" w:eastAsia="Times New Roman" w:cs="Times New Roman"/>
                <w:color w:val="auto"/>
              </w:rPr>
            </w:pPr>
            <w:r>
              <w:rPr>
                <w:rFonts w:ascii="Times New Roman" w:hAnsi="Times New Roman" w:eastAsia="Times New Roman" w:cs="Times New Roman"/>
                <w:color w:val="auto"/>
                <w:spacing w:val="-1"/>
              </w:rPr>
              <w:t>20</w:t>
            </w:r>
          </w:p>
        </w:tc>
        <w:tc>
          <w:tcPr>
            <w:tcW w:w="709" w:type="dxa"/>
            <w:vAlign w:val="center"/>
          </w:tcPr>
          <w:p w14:paraId="060B1DA0">
            <w:pPr>
              <w:spacing w:line="240" w:lineRule="exact"/>
              <w:jc w:val="center"/>
              <w:rPr>
                <w:rFonts w:ascii="Times New Roman" w:hAnsi="Times New Roman" w:eastAsia="Times New Roman" w:cs="Times New Roman"/>
                <w:color w:val="auto"/>
              </w:rPr>
            </w:pPr>
            <w:r>
              <w:rPr>
                <w:rFonts w:ascii="Times New Roman" w:hAnsi="Times New Roman" w:eastAsia="Times New Roman" w:cs="Times New Roman"/>
                <w:color w:val="auto"/>
                <w:spacing w:val="-6"/>
              </w:rPr>
              <w:t>16</w:t>
            </w:r>
          </w:p>
        </w:tc>
        <w:tc>
          <w:tcPr>
            <w:tcW w:w="708" w:type="dxa"/>
            <w:tcBorders>
              <w:right w:val="single" w:color="auto" w:sz="4" w:space="0"/>
            </w:tcBorders>
            <w:vAlign w:val="center"/>
          </w:tcPr>
          <w:p w14:paraId="060B1DA1">
            <w:pPr>
              <w:spacing w:line="240" w:lineRule="exact"/>
              <w:jc w:val="center"/>
              <w:rPr>
                <w:rFonts w:ascii="Times New Roman" w:hAnsi="Times New Roman" w:eastAsia="Times New Roman" w:cs="Times New Roman"/>
                <w:color w:val="auto"/>
              </w:rPr>
            </w:pPr>
            <w:r>
              <w:rPr>
                <w:rFonts w:ascii="Times New Roman" w:hAnsi="Times New Roman" w:eastAsia="Times New Roman" w:cs="Times New Roman"/>
                <w:color w:val="auto"/>
                <w:spacing w:val="-6"/>
              </w:rPr>
              <w:t>12</w:t>
            </w:r>
          </w:p>
        </w:tc>
        <w:tc>
          <w:tcPr>
            <w:tcW w:w="709" w:type="dxa"/>
            <w:tcBorders>
              <w:left w:val="single" w:color="auto" w:sz="4" w:space="0"/>
            </w:tcBorders>
            <w:vAlign w:val="center"/>
          </w:tcPr>
          <w:p w14:paraId="060B1DA2">
            <w:pPr>
              <w:spacing w:line="240" w:lineRule="exact"/>
              <w:jc w:val="center"/>
              <w:rPr>
                <w:rFonts w:ascii="Times New Roman" w:hAnsi="Times New Roman" w:eastAsia="Times New Roman" w:cs="Times New Roman"/>
                <w:color w:val="auto"/>
              </w:rPr>
            </w:pPr>
            <w:r>
              <w:rPr>
                <w:rFonts w:ascii="Times New Roman" w:hAnsi="Times New Roman" w:eastAsia="Times New Roman" w:cs="Times New Roman"/>
                <w:color w:val="auto"/>
              </w:rPr>
              <w:t>8</w:t>
            </w:r>
          </w:p>
        </w:tc>
        <w:tc>
          <w:tcPr>
            <w:tcW w:w="992" w:type="dxa"/>
            <w:vMerge w:val="continue"/>
            <w:vAlign w:val="center"/>
          </w:tcPr>
          <w:p w14:paraId="060B1DA3">
            <w:pPr>
              <w:spacing w:line="240" w:lineRule="exact"/>
              <w:ind w:firstLine="420" w:firstLineChars="200"/>
              <w:rPr>
                <w:color w:val="auto"/>
              </w:rPr>
            </w:pPr>
          </w:p>
        </w:tc>
        <w:tc>
          <w:tcPr>
            <w:tcW w:w="2273" w:type="dxa"/>
            <w:vMerge w:val="continue"/>
            <w:vAlign w:val="center"/>
          </w:tcPr>
          <w:p w14:paraId="060B1DA4">
            <w:pPr>
              <w:spacing w:line="240" w:lineRule="exact"/>
              <w:ind w:firstLine="420" w:firstLineChars="200"/>
              <w:rPr>
                <w:rFonts w:hint="eastAsia" w:ascii="宋体" w:hAnsi="宋体" w:eastAsia="宋体" w:cs="宋体"/>
                <w:color w:val="auto"/>
              </w:rPr>
            </w:pPr>
          </w:p>
        </w:tc>
      </w:tr>
      <w:tr w14:paraId="060B1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1065" w:type="dxa"/>
            <w:vMerge w:val="restart"/>
            <w:tcBorders>
              <w:bottom w:val="nil"/>
            </w:tcBorders>
            <w:vAlign w:val="center"/>
          </w:tcPr>
          <w:p w14:paraId="060B1DA6">
            <w:pPr>
              <w:spacing w:line="240" w:lineRule="exact"/>
              <w:rPr>
                <w:rFonts w:hint="eastAsia" w:ascii="宋体" w:hAnsi="宋体" w:eastAsia="宋体" w:cs="宋体"/>
                <w:color w:val="auto"/>
              </w:rPr>
            </w:pPr>
            <w:r>
              <w:rPr>
                <w:rFonts w:ascii="宋体" w:hAnsi="宋体" w:eastAsia="宋体" w:cs="宋体"/>
                <w:color w:val="auto"/>
                <w:spacing w:val="-2"/>
              </w:rPr>
              <w:t>科</w:t>
            </w:r>
            <w:r>
              <w:rPr>
                <w:rFonts w:ascii="宋体" w:hAnsi="宋体" w:eastAsia="宋体" w:cs="宋体"/>
                <w:color w:val="auto"/>
                <w:spacing w:val="-1"/>
              </w:rPr>
              <w:t>研成果</w:t>
            </w:r>
          </w:p>
        </w:tc>
        <w:tc>
          <w:tcPr>
            <w:tcW w:w="4385" w:type="dxa"/>
            <w:gridSpan w:val="5"/>
            <w:vAlign w:val="center"/>
          </w:tcPr>
          <w:p w14:paraId="060B1DA7">
            <w:pPr>
              <w:spacing w:line="240" w:lineRule="exact"/>
              <w:ind w:firstLine="376" w:firstLineChars="200"/>
              <w:rPr>
                <w:rFonts w:ascii="Times New Roman" w:hAnsi="Times New Roman" w:eastAsia="Times New Roman" w:cs="Times New Roman"/>
                <w:color w:val="auto"/>
              </w:rPr>
            </w:pPr>
            <w:r>
              <w:rPr>
                <w:rFonts w:ascii="Times New Roman" w:hAnsi="Times New Roman" w:eastAsia="Times New Roman" w:cs="Times New Roman"/>
                <w:color w:val="auto"/>
                <w:spacing w:val="-11"/>
              </w:rPr>
              <w:t>1</w:t>
            </w:r>
            <w:r>
              <w:rPr>
                <w:rFonts w:ascii="Times New Roman" w:hAnsi="Times New Roman" w:eastAsia="Times New Roman" w:cs="Times New Roman"/>
                <w:color w:val="auto"/>
                <w:spacing w:val="-5"/>
              </w:rPr>
              <w:t>.</w:t>
            </w:r>
          </w:p>
          <w:p w14:paraId="060B1DA8">
            <w:pPr>
              <w:spacing w:line="240" w:lineRule="exact"/>
              <w:ind w:firstLine="420" w:firstLineChars="200"/>
              <w:rPr>
                <w:rFonts w:hint="eastAsia" w:ascii="宋体" w:hAnsi="宋体" w:eastAsia="宋体" w:cs="宋体"/>
                <w:color w:val="auto"/>
              </w:rPr>
            </w:pPr>
            <w:r>
              <w:rPr>
                <w:rFonts w:ascii="宋体" w:hAnsi="宋体" w:eastAsia="宋体" w:cs="宋体"/>
                <w:color w:val="auto"/>
              </w:rPr>
              <w:t>自评分数</w:t>
            </w:r>
            <w:r>
              <w:rPr>
                <w:rFonts w:ascii="宋体" w:hAnsi="宋体" w:eastAsia="宋体" w:cs="宋体"/>
                <w:color w:val="auto"/>
                <w:spacing w:val="-64"/>
              </w:rPr>
              <w:t>：</w:t>
            </w:r>
          </w:p>
        </w:tc>
        <w:tc>
          <w:tcPr>
            <w:tcW w:w="992" w:type="dxa"/>
            <w:vAlign w:val="center"/>
          </w:tcPr>
          <w:p w14:paraId="060B1DA9">
            <w:pPr>
              <w:spacing w:line="240" w:lineRule="exact"/>
              <w:ind w:firstLine="420" w:firstLineChars="200"/>
              <w:rPr>
                <w:color w:val="auto"/>
              </w:rPr>
            </w:pPr>
          </w:p>
        </w:tc>
        <w:tc>
          <w:tcPr>
            <w:tcW w:w="2273" w:type="dxa"/>
            <w:vMerge w:val="restart"/>
            <w:tcBorders>
              <w:bottom w:val="nil"/>
            </w:tcBorders>
            <w:vAlign w:val="center"/>
          </w:tcPr>
          <w:p w14:paraId="060B1DAA">
            <w:pPr>
              <w:spacing w:line="240" w:lineRule="exact"/>
              <w:rPr>
                <w:rFonts w:hint="eastAsia" w:ascii="宋体" w:hAnsi="宋体" w:eastAsia="宋体" w:cs="宋体"/>
                <w:color w:val="auto"/>
              </w:rPr>
            </w:pPr>
            <w:r>
              <w:rPr>
                <w:rFonts w:hint="eastAsia" w:ascii="宋体" w:hAnsi="宋体" w:eastAsia="宋体" w:cs="宋体"/>
                <w:color w:val="auto"/>
              </w:rPr>
              <w:t>学位点负责人</w:t>
            </w:r>
            <w:r>
              <w:rPr>
                <w:rFonts w:ascii="宋体" w:hAnsi="宋体" w:eastAsia="宋体" w:cs="宋体"/>
                <w:color w:val="auto"/>
              </w:rPr>
              <w:t>签名</w:t>
            </w:r>
            <w:r>
              <w:rPr>
                <w:rFonts w:ascii="宋体" w:hAnsi="宋体" w:eastAsia="宋体" w:cs="宋体"/>
                <w:color w:val="auto"/>
                <w:spacing w:val="-8"/>
              </w:rPr>
              <w:t>：</w:t>
            </w:r>
          </w:p>
        </w:tc>
      </w:tr>
      <w:tr w14:paraId="060B1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jc w:val="center"/>
        </w:trPr>
        <w:tc>
          <w:tcPr>
            <w:tcW w:w="1065" w:type="dxa"/>
            <w:vMerge w:val="continue"/>
            <w:tcBorders>
              <w:top w:val="nil"/>
              <w:bottom w:val="nil"/>
            </w:tcBorders>
            <w:vAlign w:val="center"/>
          </w:tcPr>
          <w:p w14:paraId="060B1DAC">
            <w:pPr>
              <w:spacing w:line="240" w:lineRule="exact"/>
              <w:ind w:firstLine="420" w:firstLineChars="200"/>
              <w:rPr>
                <w:color w:val="auto"/>
              </w:rPr>
            </w:pPr>
          </w:p>
        </w:tc>
        <w:tc>
          <w:tcPr>
            <w:tcW w:w="4385" w:type="dxa"/>
            <w:gridSpan w:val="5"/>
            <w:vAlign w:val="center"/>
          </w:tcPr>
          <w:p w14:paraId="060B1DAD">
            <w:pPr>
              <w:spacing w:line="240" w:lineRule="exact"/>
              <w:ind w:firstLine="412" w:firstLineChars="200"/>
              <w:rPr>
                <w:rFonts w:ascii="Times New Roman" w:hAnsi="Times New Roman" w:eastAsia="Times New Roman" w:cs="Times New Roman"/>
                <w:color w:val="auto"/>
              </w:rPr>
            </w:pPr>
            <w:r>
              <w:rPr>
                <w:rFonts w:ascii="Times New Roman" w:hAnsi="Times New Roman" w:eastAsia="Times New Roman" w:cs="Times New Roman"/>
                <w:color w:val="auto"/>
                <w:spacing w:val="-2"/>
              </w:rPr>
              <w:t>2</w:t>
            </w:r>
            <w:r>
              <w:rPr>
                <w:rFonts w:ascii="Times New Roman" w:hAnsi="Times New Roman" w:eastAsia="Times New Roman" w:cs="Times New Roman"/>
                <w:color w:val="auto"/>
                <w:spacing w:val="-1"/>
              </w:rPr>
              <w:t>.</w:t>
            </w:r>
          </w:p>
          <w:p w14:paraId="060B1DAE">
            <w:pPr>
              <w:spacing w:line="240" w:lineRule="exact"/>
              <w:ind w:firstLine="420" w:firstLineChars="200"/>
              <w:rPr>
                <w:rFonts w:hint="eastAsia" w:ascii="宋体" w:hAnsi="宋体" w:eastAsia="宋体" w:cs="宋体"/>
                <w:color w:val="auto"/>
              </w:rPr>
            </w:pPr>
            <w:r>
              <w:rPr>
                <w:rFonts w:ascii="宋体" w:hAnsi="宋体" w:eastAsia="宋体" w:cs="宋体"/>
                <w:color w:val="auto"/>
              </w:rPr>
              <w:t>自评分数</w:t>
            </w:r>
            <w:r>
              <w:rPr>
                <w:rFonts w:ascii="宋体" w:hAnsi="宋体" w:eastAsia="宋体" w:cs="宋体"/>
                <w:color w:val="auto"/>
                <w:spacing w:val="-64"/>
              </w:rPr>
              <w:t>：</w:t>
            </w:r>
          </w:p>
        </w:tc>
        <w:tc>
          <w:tcPr>
            <w:tcW w:w="992" w:type="dxa"/>
            <w:vAlign w:val="center"/>
          </w:tcPr>
          <w:p w14:paraId="060B1DAF">
            <w:pPr>
              <w:spacing w:line="240" w:lineRule="exact"/>
              <w:ind w:firstLine="420" w:firstLineChars="200"/>
              <w:rPr>
                <w:color w:val="auto"/>
              </w:rPr>
            </w:pPr>
          </w:p>
        </w:tc>
        <w:tc>
          <w:tcPr>
            <w:tcW w:w="2273" w:type="dxa"/>
            <w:vMerge w:val="continue"/>
            <w:tcBorders>
              <w:top w:val="nil"/>
              <w:bottom w:val="nil"/>
            </w:tcBorders>
            <w:vAlign w:val="center"/>
          </w:tcPr>
          <w:p w14:paraId="060B1DB0">
            <w:pPr>
              <w:spacing w:line="240" w:lineRule="exact"/>
              <w:ind w:firstLine="420" w:firstLineChars="200"/>
              <w:rPr>
                <w:color w:val="auto"/>
              </w:rPr>
            </w:pPr>
          </w:p>
        </w:tc>
      </w:tr>
      <w:tr w14:paraId="060B1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jc w:val="center"/>
        </w:trPr>
        <w:tc>
          <w:tcPr>
            <w:tcW w:w="1065" w:type="dxa"/>
            <w:vMerge w:val="continue"/>
            <w:tcBorders>
              <w:top w:val="nil"/>
              <w:bottom w:val="nil"/>
            </w:tcBorders>
            <w:vAlign w:val="center"/>
          </w:tcPr>
          <w:p w14:paraId="060B1DB2">
            <w:pPr>
              <w:spacing w:line="240" w:lineRule="exact"/>
              <w:ind w:firstLine="420" w:firstLineChars="200"/>
              <w:rPr>
                <w:color w:val="auto"/>
              </w:rPr>
            </w:pPr>
          </w:p>
        </w:tc>
        <w:tc>
          <w:tcPr>
            <w:tcW w:w="4385" w:type="dxa"/>
            <w:gridSpan w:val="5"/>
            <w:vAlign w:val="center"/>
          </w:tcPr>
          <w:p w14:paraId="060B1DB3">
            <w:pPr>
              <w:spacing w:line="240" w:lineRule="exact"/>
              <w:ind w:firstLine="404" w:firstLineChars="200"/>
              <w:rPr>
                <w:rFonts w:ascii="Times New Roman" w:hAnsi="Times New Roman" w:eastAsia="Times New Roman" w:cs="Times New Roman"/>
                <w:color w:val="auto"/>
              </w:rPr>
            </w:pPr>
            <w:r>
              <w:rPr>
                <w:rFonts w:ascii="Times New Roman" w:hAnsi="Times New Roman" w:eastAsia="Times New Roman" w:cs="Times New Roman"/>
                <w:color w:val="auto"/>
                <w:spacing w:val="-4"/>
              </w:rPr>
              <w:t>3</w:t>
            </w:r>
            <w:r>
              <w:rPr>
                <w:rFonts w:ascii="Times New Roman" w:hAnsi="Times New Roman" w:eastAsia="Times New Roman" w:cs="Times New Roman"/>
                <w:color w:val="auto"/>
                <w:spacing w:val="-2"/>
              </w:rPr>
              <w:t>.</w:t>
            </w:r>
          </w:p>
          <w:p w14:paraId="060B1DB4">
            <w:pPr>
              <w:spacing w:line="240" w:lineRule="exact"/>
              <w:ind w:firstLine="420" w:firstLineChars="200"/>
              <w:rPr>
                <w:rFonts w:hint="eastAsia" w:ascii="宋体" w:hAnsi="宋体" w:eastAsia="宋体" w:cs="宋体"/>
                <w:color w:val="auto"/>
              </w:rPr>
            </w:pPr>
            <w:r>
              <w:rPr>
                <w:rFonts w:ascii="宋体" w:hAnsi="宋体" w:eastAsia="宋体" w:cs="宋体"/>
                <w:color w:val="auto"/>
              </w:rPr>
              <w:t>自评分数</w:t>
            </w:r>
            <w:r>
              <w:rPr>
                <w:rFonts w:ascii="宋体" w:hAnsi="宋体" w:eastAsia="宋体" w:cs="宋体"/>
                <w:color w:val="auto"/>
                <w:spacing w:val="-64"/>
              </w:rPr>
              <w:t>：</w:t>
            </w:r>
          </w:p>
        </w:tc>
        <w:tc>
          <w:tcPr>
            <w:tcW w:w="992" w:type="dxa"/>
            <w:vAlign w:val="center"/>
          </w:tcPr>
          <w:p w14:paraId="060B1DB5">
            <w:pPr>
              <w:spacing w:line="240" w:lineRule="exact"/>
              <w:ind w:firstLine="420" w:firstLineChars="200"/>
              <w:rPr>
                <w:color w:val="auto"/>
              </w:rPr>
            </w:pPr>
          </w:p>
        </w:tc>
        <w:tc>
          <w:tcPr>
            <w:tcW w:w="2273" w:type="dxa"/>
            <w:vMerge w:val="continue"/>
            <w:tcBorders>
              <w:top w:val="nil"/>
              <w:bottom w:val="nil"/>
            </w:tcBorders>
            <w:vAlign w:val="center"/>
          </w:tcPr>
          <w:p w14:paraId="060B1DB6">
            <w:pPr>
              <w:spacing w:line="240" w:lineRule="exact"/>
              <w:ind w:firstLine="420" w:firstLineChars="200"/>
              <w:rPr>
                <w:color w:val="auto"/>
              </w:rPr>
            </w:pPr>
          </w:p>
        </w:tc>
      </w:tr>
      <w:tr w14:paraId="060B1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1065" w:type="dxa"/>
            <w:vMerge w:val="continue"/>
            <w:tcBorders>
              <w:top w:val="nil"/>
              <w:bottom w:val="nil"/>
            </w:tcBorders>
            <w:vAlign w:val="center"/>
          </w:tcPr>
          <w:p w14:paraId="060B1DB8">
            <w:pPr>
              <w:spacing w:line="240" w:lineRule="exact"/>
              <w:ind w:firstLine="420" w:firstLineChars="200"/>
              <w:rPr>
                <w:color w:val="auto"/>
              </w:rPr>
            </w:pPr>
          </w:p>
        </w:tc>
        <w:tc>
          <w:tcPr>
            <w:tcW w:w="4385" w:type="dxa"/>
            <w:gridSpan w:val="5"/>
            <w:vAlign w:val="center"/>
          </w:tcPr>
          <w:p w14:paraId="060B1DB9">
            <w:pPr>
              <w:spacing w:line="240" w:lineRule="exact"/>
              <w:ind w:firstLine="416" w:firstLineChars="200"/>
              <w:rPr>
                <w:rFonts w:ascii="Times New Roman" w:hAnsi="Times New Roman" w:eastAsia="Times New Roman" w:cs="Times New Roman"/>
                <w:color w:val="auto"/>
              </w:rPr>
            </w:pPr>
            <w:r>
              <w:rPr>
                <w:rFonts w:ascii="Times New Roman" w:hAnsi="Times New Roman" w:eastAsia="Times New Roman" w:cs="Times New Roman"/>
                <w:color w:val="auto"/>
                <w:spacing w:val="-1"/>
              </w:rPr>
              <w:t>4.</w:t>
            </w:r>
          </w:p>
          <w:p w14:paraId="060B1DBA">
            <w:pPr>
              <w:spacing w:line="240" w:lineRule="exact"/>
              <w:ind w:firstLine="420" w:firstLineChars="200"/>
              <w:rPr>
                <w:rFonts w:hint="eastAsia" w:ascii="宋体" w:hAnsi="宋体" w:eastAsia="宋体" w:cs="宋体"/>
                <w:color w:val="auto"/>
              </w:rPr>
            </w:pPr>
            <w:r>
              <w:rPr>
                <w:rFonts w:ascii="宋体" w:hAnsi="宋体" w:eastAsia="宋体" w:cs="宋体"/>
                <w:color w:val="auto"/>
              </w:rPr>
              <w:t>自评分数</w:t>
            </w:r>
            <w:r>
              <w:rPr>
                <w:rFonts w:ascii="宋体" w:hAnsi="宋体" w:eastAsia="宋体" w:cs="宋体"/>
                <w:color w:val="auto"/>
                <w:spacing w:val="-64"/>
              </w:rPr>
              <w:t>：</w:t>
            </w:r>
          </w:p>
        </w:tc>
        <w:tc>
          <w:tcPr>
            <w:tcW w:w="992" w:type="dxa"/>
            <w:vAlign w:val="center"/>
          </w:tcPr>
          <w:p w14:paraId="060B1DBB">
            <w:pPr>
              <w:spacing w:line="240" w:lineRule="exact"/>
              <w:ind w:firstLine="420" w:firstLineChars="200"/>
              <w:rPr>
                <w:color w:val="auto"/>
              </w:rPr>
            </w:pPr>
          </w:p>
        </w:tc>
        <w:tc>
          <w:tcPr>
            <w:tcW w:w="2273" w:type="dxa"/>
            <w:vMerge w:val="continue"/>
            <w:tcBorders>
              <w:top w:val="nil"/>
              <w:bottom w:val="nil"/>
            </w:tcBorders>
            <w:vAlign w:val="center"/>
          </w:tcPr>
          <w:p w14:paraId="060B1DBC">
            <w:pPr>
              <w:spacing w:line="240" w:lineRule="exact"/>
              <w:ind w:firstLine="420" w:firstLineChars="200"/>
              <w:rPr>
                <w:color w:val="auto"/>
              </w:rPr>
            </w:pPr>
          </w:p>
        </w:tc>
      </w:tr>
      <w:tr w14:paraId="060B1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1065" w:type="dxa"/>
            <w:vMerge w:val="continue"/>
            <w:tcBorders>
              <w:top w:val="nil"/>
              <w:bottom w:val="nil"/>
            </w:tcBorders>
            <w:vAlign w:val="center"/>
          </w:tcPr>
          <w:p w14:paraId="060B1DBE">
            <w:pPr>
              <w:spacing w:line="240" w:lineRule="exact"/>
              <w:ind w:firstLine="420" w:firstLineChars="200"/>
              <w:rPr>
                <w:color w:val="auto"/>
              </w:rPr>
            </w:pPr>
          </w:p>
        </w:tc>
        <w:tc>
          <w:tcPr>
            <w:tcW w:w="4385" w:type="dxa"/>
            <w:gridSpan w:val="5"/>
            <w:vAlign w:val="center"/>
          </w:tcPr>
          <w:p w14:paraId="060B1DBF">
            <w:pPr>
              <w:spacing w:line="240" w:lineRule="exact"/>
              <w:ind w:firstLine="400" w:firstLineChars="200"/>
              <w:rPr>
                <w:rFonts w:ascii="Times New Roman" w:hAnsi="Times New Roman" w:eastAsia="Times New Roman" w:cs="Times New Roman"/>
                <w:color w:val="auto"/>
              </w:rPr>
            </w:pPr>
            <w:r>
              <w:rPr>
                <w:rFonts w:ascii="Times New Roman" w:hAnsi="Times New Roman" w:eastAsia="Times New Roman" w:cs="Times New Roman"/>
                <w:color w:val="auto"/>
                <w:spacing w:val="-5"/>
              </w:rPr>
              <w:t>5</w:t>
            </w:r>
            <w:r>
              <w:rPr>
                <w:rFonts w:ascii="Times New Roman" w:hAnsi="Times New Roman" w:eastAsia="Times New Roman" w:cs="Times New Roman"/>
                <w:color w:val="auto"/>
                <w:spacing w:val="-2"/>
              </w:rPr>
              <w:t>.</w:t>
            </w:r>
          </w:p>
          <w:p w14:paraId="060B1DC0">
            <w:pPr>
              <w:spacing w:line="240" w:lineRule="exact"/>
              <w:ind w:firstLine="420" w:firstLineChars="200"/>
              <w:rPr>
                <w:rFonts w:hint="eastAsia" w:ascii="宋体" w:hAnsi="宋体" w:eastAsia="宋体" w:cs="宋体"/>
                <w:color w:val="auto"/>
              </w:rPr>
            </w:pPr>
            <w:r>
              <w:rPr>
                <w:rFonts w:ascii="宋体" w:hAnsi="宋体" w:eastAsia="宋体" w:cs="宋体"/>
                <w:color w:val="auto"/>
              </w:rPr>
              <w:t>自评分数</w:t>
            </w:r>
            <w:r>
              <w:rPr>
                <w:rFonts w:ascii="宋体" w:hAnsi="宋体" w:eastAsia="宋体" w:cs="宋体"/>
                <w:color w:val="auto"/>
                <w:spacing w:val="-64"/>
              </w:rPr>
              <w:t>：</w:t>
            </w:r>
          </w:p>
        </w:tc>
        <w:tc>
          <w:tcPr>
            <w:tcW w:w="992" w:type="dxa"/>
            <w:vAlign w:val="center"/>
          </w:tcPr>
          <w:p w14:paraId="060B1DC1">
            <w:pPr>
              <w:spacing w:line="240" w:lineRule="exact"/>
              <w:ind w:firstLine="420" w:firstLineChars="200"/>
              <w:rPr>
                <w:color w:val="auto"/>
              </w:rPr>
            </w:pPr>
          </w:p>
        </w:tc>
        <w:tc>
          <w:tcPr>
            <w:tcW w:w="2273" w:type="dxa"/>
            <w:vMerge w:val="continue"/>
            <w:tcBorders>
              <w:top w:val="nil"/>
              <w:bottom w:val="nil"/>
            </w:tcBorders>
            <w:vAlign w:val="center"/>
          </w:tcPr>
          <w:p w14:paraId="060B1DC2">
            <w:pPr>
              <w:spacing w:line="240" w:lineRule="exact"/>
              <w:ind w:firstLine="420" w:firstLineChars="200"/>
              <w:rPr>
                <w:color w:val="auto"/>
              </w:rPr>
            </w:pPr>
          </w:p>
        </w:tc>
      </w:tr>
      <w:tr w14:paraId="060B1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1065" w:type="dxa"/>
            <w:vMerge w:val="continue"/>
            <w:tcBorders>
              <w:top w:val="nil"/>
              <w:bottom w:val="nil"/>
            </w:tcBorders>
            <w:vAlign w:val="center"/>
          </w:tcPr>
          <w:p w14:paraId="060B1DC4">
            <w:pPr>
              <w:spacing w:line="240" w:lineRule="exact"/>
              <w:ind w:firstLine="420" w:firstLineChars="200"/>
              <w:rPr>
                <w:color w:val="auto"/>
              </w:rPr>
            </w:pPr>
          </w:p>
        </w:tc>
        <w:tc>
          <w:tcPr>
            <w:tcW w:w="4385" w:type="dxa"/>
            <w:gridSpan w:val="5"/>
            <w:vAlign w:val="center"/>
          </w:tcPr>
          <w:p w14:paraId="060B1DC5">
            <w:pPr>
              <w:spacing w:line="240" w:lineRule="exact"/>
              <w:ind w:firstLine="404" w:firstLineChars="200"/>
              <w:rPr>
                <w:rFonts w:ascii="Times New Roman" w:hAnsi="Times New Roman" w:eastAsia="Times New Roman" w:cs="Times New Roman"/>
                <w:color w:val="auto"/>
              </w:rPr>
            </w:pPr>
            <w:r>
              <w:rPr>
                <w:rFonts w:ascii="Times New Roman" w:hAnsi="Times New Roman" w:eastAsia="Times New Roman" w:cs="Times New Roman"/>
                <w:color w:val="auto"/>
                <w:spacing w:val="-4"/>
              </w:rPr>
              <w:t>6</w:t>
            </w:r>
            <w:r>
              <w:rPr>
                <w:rFonts w:ascii="Times New Roman" w:hAnsi="Times New Roman" w:eastAsia="Times New Roman" w:cs="Times New Roman"/>
                <w:color w:val="auto"/>
                <w:spacing w:val="-2"/>
              </w:rPr>
              <w:t>.</w:t>
            </w:r>
          </w:p>
          <w:p w14:paraId="060B1DC6">
            <w:pPr>
              <w:spacing w:line="240" w:lineRule="exact"/>
              <w:ind w:firstLine="420" w:firstLineChars="200"/>
              <w:rPr>
                <w:rFonts w:hint="eastAsia" w:ascii="宋体" w:hAnsi="宋体" w:eastAsia="宋体" w:cs="宋体"/>
                <w:color w:val="auto"/>
              </w:rPr>
            </w:pPr>
            <w:r>
              <w:rPr>
                <w:rFonts w:ascii="宋体" w:hAnsi="宋体" w:eastAsia="宋体" w:cs="宋体"/>
                <w:color w:val="auto"/>
              </w:rPr>
              <w:t>自评分数</w:t>
            </w:r>
            <w:r>
              <w:rPr>
                <w:rFonts w:ascii="宋体" w:hAnsi="宋体" w:eastAsia="宋体" w:cs="宋体"/>
                <w:color w:val="auto"/>
                <w:spacing w:val="-64"/>
              </w:rPr>
              <w:t>：</w:t>
            </w:r>
          </w:p>
        </w:tc>
        <w:tc>
          <w:tcPr>
            <w:tcW w:w="992" w:type="dxa"/>
            <w:vAlign w:val="center"/>
          </w:tcPr>
          <w:p w14:paraId="060B1DC7">
            <w:pPr>
              <w:spacing w:line="240" w:lineRule="exact"/>
              <w:ind w:firstLine="420" w:firstLineChars="200"/>
              <w:rPr>
                <w:color w:val="auto"/>
              </w:rPr>
            </w:pPr>
          </w:p>
        </w:tc>
        <w:tc>
          <w:tcPr>
            <w:tcW w:w="2273" w:type="dxa"/>
            <w:vMerge w:val="continue"/>
            <w:tcBorders>
              <w:top w:val="nil"/>
              <w:bottom w:val="nil"/>
            </w:tcBorders>
            <w:vAlign w:val="center"/>
          </w:tcPr>
          <w:p w14:paraId="060B1DC8">
            <w:pPr>
              <w:spacing w:line="240" w:lineRule="exact"/>
              <w:ind w:firstLine="420" w:firstLineChars="200"/>
              <w:rPr>
                <w:color w:val="auto"/>
              </w:rPr>
            </w:pPr>
          </w:p>
        </w:tc>
      </w:tr>
      <w:tr w14:paraId="060B1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1065" w:type="dxa"/>
            <w:vMerge w:val="continue"/>
            <w:tcBorders>
              <w:top w:val="nil"/>
              <w:bottom w:val="nil"/>
            </w:tcBorders>
            <w:vAlign w:val="center"/>
          </w:tcPr>
          <w:p w14:paraId="060B1DCA">
            <w:pPr>
              <w:spacing w:line="240" w:lineRule="exact"/>
              <w:ind w:firstLine="420" w:firstLineChars="200"/>
              <w:rPr>
                <w:color w:val="auto"/>
              </w:rPr>
            </w:pPr>
          </w:p>
        </w:tc>
        <w:tc>
          <w:tcPr>
            <w:tcW w:w="4385" w:type="dxa"/>
            <w:gridSpan w:val="5"/>
            <w:vAlign w:val="center"/>
          </w:tcPr>
          <w:p w14:paraId="060B1DCB">
            <w:pPr>
              <w:spacing w:line="240" w:lineRule="exact"/>
              <w:ind w:firstLine="404" w:firstLineChars="200"/>
              <w:rPr>
                <w:rFonts w:ascii="Times New Roman" w:hAnsi="Times New Roman" w:eastAsia="Times New Roman" w:cs="Times New Roman"/>
                <w:color w:val="auto"/>
              </w:rPr>
            </w:pPr>
            <w:r>
              <w:rPr>
                <w:rFonts w:ascii="Times New Roman" w:hAnsi="Times New Roman" w:eastAsia="Times New Roman" w:cs="Times New Roman"/>
                <w:color w:val="auto"/>
                <w:spacing w:val="-4"/>
              </w:rPr>
              <w:t>7</w:t>
            </w:r>
            <w:r>
              <w:rPr>
                <w:rFonts w:ascii="Times New Roman" w:hAnsi="Times New Roman" w:eastAsia="Times New Roman" w:cs="Times New Roman"/>
                <w:color w:val="auto"/>
                <w:spacing w:val="-1"/>
              </w:rPr>
              <w:t>.</w:t>
            </w:r>
          </w:p>
          <w:p w14:paraId="060B1DCC">
            <w:pPr>
              <w:spacing w:line="240" w:lineRule="exact"/>
              <w:ind w:firstLine="420" w:firstLineChars="200"/>
              <w:rPr>
                <w:rFonts w:hint="eastAsia" w:ascii="宋体" w:hAnsi="宋体" w:eastAsia="宋体" w:cs="宋体"/>
                <w:color w:val="auto"/>
              </w:rPr>
            </w:pPr>
            <w:r>
              <w:rPr>
                <w:rFonts w:ascii="宋体" w:hAnsi="宋体" w:eastAsia="宋体" w:cs="宋体"/>
                <w:color w:val="auto"/>
              </w:rPr>
              <w:t>自评分数</w:t>
            </w:r>
            <w:r>
              <w:rPr>
                <w:rFonts w:ascii="宋体" w:hAnsi="宋体" w:eastAsia="宋体" w:cs="宋体"/>
                <w:color w:val="auto"/>
                <w:spacing w:val="-64"/>
              </w:rPr>
              <w:t>：</w:t>
            </w:r>
          </w:p>
        </w:tc>
        <w:tc>
          <w:tcPr>
            <w:tcW w:w="992" w:type="dxa"/>
            <w:vAlign w:val="center"/>
          </w:tcPr>
          <w:p w14:paraId="060B1DCD">
            <w:pPr>
              <w:spacing w:line="240" w:lineRule="exact"/>
              <w:ind w:firstLine="420" w:firstLineChars="200"/>
              <w:rPr>
                <w:color w:val="auto"/>
              </w:rPr>
            </w:pPr>
          </w:p>
        </w:tc>
        <w:tc>
          <w:tcPr>
            <w:tcW w:w="2273" w:type="dxa"/>
            <w:vMerge w:val="continue"/>
            <w:tcBorders>
              <w:top w:val="nil"/>
              <w:bottom w:val="nil"/>
            </w:tcBorders>
            <w:vAlign w:val="center"/>
          </w:tcPr>
          <w:p w14:paraId="060B1DCE">
            <w:pPr>
              <w:spacing w:line="240" w:lineRule="exact"/>
              <w:ind w:firstLine="420" w:firstLineChars="200"/>
              <w:rPr>
                <w:color w:val="auto"/>
              </w:rPr>
            </w:pPr>
          </w:p>
        </w:tc>
      </w:tr>
      <w:tr w14:paraId="060B1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1065" w:type="dxa"/>
            <w:vMerge w:val="continue"/>
            <w:tcBorders>
              <w:top w:val="nil"/>
              <w:bottom w:val="nil"/>
            </w:tcBorders>
            <w:vAlign w:val="center"/>
          </w:tcPr>
          <w:p w14:paraId="060B1DD0">
            <w:pPr>
              <w:spacing w:line="240" w:lineRule="exact"/>
              <w:ind w:firstLine="420" w:firstLineChars="200"/>
              <w:rPr>
                <w:color w:val="auto"/>
              </w:rPr>
            </w:pPr>
          </w:p>
        </w:tc>
        <w:tc>
          <w:tcPr>
            <w:tcW w:w="4385" w:type="dxa"/>
            <w:gridSpan w:val="5"/>
            <w:vAlign w:val="center"/>
          </w:tcPr>
          <w:p w14:paraId="060B1DD1">
            <w:pPr>
              <w:spacing w:line="240" w:lineRule="exact"/>
              <w:ind w:firstLine="396" w:firstLineChars="200"/>
              <w:rPr>
                <w:rFonts w:ascii="Times New Roman" w:hAnsi="Times New Roman" w:eastAsia="Times New Roman" w:cs="Times New Roman"/>
                <w:color w:val="auto"/>
              </w:rPr>
            </w:pPr>
            <w:r>
              <w:rPr>
                <w:rFonts w:ascii="Times New Roman" w:hAnsi="Times New Roman" w:eastAsia="Times New Roman" w:cs="Times New Roman"/>
                <w:color w:val="auto"/>
                <w:spacing w:val="-6"/>
              </w:rPr>
              <w:t>8</w:t>
            </w:r>
            <w:r>
              <w:rPr>
                <w:rFonts w:ascii="Times New Roman" w:hAnsi="Times New Roman" w:eastAsia="Times New Roman" w:cs="Times New Roman"/>
                <w:color w:val="auto"/>
                <w:spacing w:val="-2"/>
              </w:rPr>
              <w:t>.</w:t>
            </w:r>
          </w:p>
          <w:p w14:paraId="060B1DD2">
            <w:pPr>
              <w:spacing w:line="240" w:lineRule="exact"/>
              <w:ind w:firstLine="420" w:firstLineChars="200"/>
              <w:rPr>
                <w:rFonts w:hint="eastAsia" w:ascii="宋体" w:hAnsi="宋体" w:eastAsia="宋体" w:cs="宋体"/>
                <w:color w:val="auto"/>
              </w:rPr>
            </w:pPr>
            <w:r>
              <w:rPr>
                <w:rFonts w:ascii="宋体" w:hAnsi="宋体" w:eastAsia="宋体" w:cs="宋体"/>
                <w:color w:val="auto"/>
              </w:rPr>
              <w:t>自评分数</w:t>
            </w:r>
            <w:r>
              <w:rPr>
                <w:rFonts w:ascii="宋体" w:hAnsi="宋体" w:eastAsia="宋体" w:cs="宋体"/>
                <w:color w:val="auto"/>
                <w:spacing w:val="-64"/>
              </w:rPr>
              <w:t>：</w:t>
            </w:r>
          </w:p>
        </w:tc>
        <w:tc>
          <w:tcPr>
            <w:tcW w:w="992" w:type="dxa"/>
            <w:vAlign w:val="center"/>
          </w:tcPr>
          <w:p w14:paraId="060B1DD3">
            <w:pPr>
              <w:spacing w:line="240" w:lineRule="exact"/>
              <w:ind w:firstLine="420" w:firstLineChars="200"/>
              <w:rPr>
                <w:color w:val="auto"/>
              </w:rPr>
            </w:pPr>
          </w:p>
        </w:tc>
        <w:tc>
          <w:tcPr>
            <w:tcW w:w="2273" w:type="dxa"/>
            <w:vMerge w:val="continue"/>
            <w:tcBorders>
              <w:top w:val="nil"/>
              <w:bottom w:val="nil"/>
            </w:tcBorders>
            <w:vAlign w:val="center"/>
          </w:tcPr>
          <w:p w14:paraId="060B1DD4">
            <w:pPr>
              <w:spacing w:line="240" w:lineRule="exact"/>
              <w:ind w:firstLine="420" w:firstLineChars="200"/>
              <w:rPr>
                <w:color w:val="auto"/>
              </w:rPr>
            </w:pPr>
          </w:p>
        </w:tc>
      </w:tr>
      <w:tr w14:paraId="060B1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1065" w:type="dxa"/>
            <w:vMerge w:val="continue"/>
            <w:tcBorders>
              <w:top w:val="nil"/>
            </w:tcBorders>
            <w:vAlign w:val="center"/>
          </w:tcPr>
          <w:p w14:paraId="060B1DD6">
            <w:pPr>
              <w:spacing w:line="240" w:lineRule="exact"/>
              <w:ind w:firstLine="420" w:firstLineChars="200"/>
              <w:rPr>
                <w:color w:val="auto"/>
              </w:rPr>
            </w:pPr>
          </w:p>
        </w:tc>
        <w:tc>
          <w:tcPr>
            <w:tcW w:w="4385" w:type="dxa"/>
            <w:gridSpan w:val="5"/>
            <w:vAlign w:val="center"/>
          </w:tcPr>
          <w:p w14:paraId="060B1DD7">
            <w:pPr>
              <w:spacing w:line="240" w:lineRule="exact"/>
              <w:ind w:firstLine="404" w:firstLineChars="200"/>
              <w:rPr>
                <w:rFonts w:ascii="Times New Roman" w:hAnsi="Times New Roman" w:eastAsia="Times New Roman" w:cs="Times New Roman"/>
                <w:color w:val="auto"/>
              </w:rPr>
            </w:pPr>
            <w:r>
              <w:rPr>
                <w:rFonts w:ascii="Times New Roman" w:hAnsi="Times New Roman" w:eastAsia="Times New Roman" w:cs="Times New Roman"/>
                <w:color w:val="auto"/>
                <w:spacing w:val="-4"/>
              </w:rPr>
              <w:t>9</w:t>
            </w:r>
            <w:r>
              <w:rPr>
                <w:rFonts w:ascii="Times New Roman" w:hAnsi="Times New Roman" w:eastAsia="Times New Roman" w:cs="Times New Roman"/>
                <w:color w:val="auto"/>
                <w:spacing w:val="-2"/>
              </w:rPr>
              <w:t>.</w:t>
            </w:r>
          </w:p>
          <w:p w14:paraId="060B1DD8">
            <w:pPr>
              <w:spacing w:line="240" w:lineRule="exact"/>
              <w:ind w:firstLine="420" w:firstLineChars="200"/>
              <w:rPr>
                <w:rFonts w:hint="eastAsia" w:ascii="宋体" w:hAnsi="宋体" w:eastAsia="宋体" w:cs="宋体"/>
                <w:color w:val="auto"/>
              </w:rPr>
            </w:pPr>
            <w:r>
              <w:rPr>
                <w:rFonts w:ascii="宋体" w:hAnsi="宋体" w:eastAsia="宋体" w:cs="宋体"/>
                <w:color w:val="auto"/>
              </w:rPr>
              <w:t>自评分数</w:t>
            </w:r>
            <w:r>
              <w:rPr>
                <w:rFonts w:ascii="宋体" w:hAnsi="宋体" w:eastAsia="宋体" w:cs="宋体"/>
                <w:color w:val="auto"/>
                <w:spacing w:val="-64"/>
              </w:rPr>
              <w:t>：</w:t>
            </w:r>
          </w:p>
        </w:tc>
        <w:tc>
          <w:tcPr>
            <w:tcW w:w="992" w:type="dxa"/>
            <w:vAlign w:val="center"/>
          </w:tcPr>
          <w:p w14:paraId="060B1DD9">
            <w:pPr>
              <w:spacing w:line="240" w:lineRule="exact"/>
              <w:ind w:firstLine="420" w:firstLineChars="200"/>
              <w:rPr>
                <w:color w:val="auto"/>
              </w:rPr>
            </w:pPr>
          </w:p>
        </w:tc>
        <w:tc>
          <w:tcPr>
            <w:tcW w:w="2273" w:type="dxa"/>
            <w:vMerge w:val="continue"/>
            <w:tcBorders>
              <w:top w:val="nil"/>
            </w:tcBorders>
            <w:vAlign w:val="center"/>
          </w:tcPr>
          <w:p w14:paraId="060B1DDA">
            <w:pPr>
              <w:spacing w:line="240" w:lineRule="exact"/>
              <w:ind w:firstLine="420" w:firstLineChars="200"/>
              <w:rPr>
                <w:color w:val="auto"/>
              </w:rPr>
            </w:pPr>
          </w:p>
        </w:tc>
      </w:tr>
      <w:tr w14:paraId="060B1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5450" w:type="dxa"/>
            <w:gridSpan w:val="6"/>
            <w:vAlign w:val="center"/>
          </w:tcPr>
          <w:p w14:paraId="060B1DDC">
            <w:pPr>
              <w:spacing w:line="240" w:lineRule="exact"/>
              <w:ind w:firstLine="408" w:firstLineChars="200"/>
              <w:rPr>
                <w:rFonts w:hint="eastAsia" w:ascii="宋体" w:hAnsi="宋体" w:eastAsia="宋体" w:cs="宋体"/>
                <w:color w:val="auto"/>
              </w:rPr>
            </w:pPr>
            <w:r>
              <w:rPr>
                <w:rFonts w:ascii="宋体" w:hAnsi="宋体" w:eastAsia="宋体" w:cs="宋体"/>
                <w:color w:val="auto"/>
                <w:spacing w:val="-3"/>
              </w:rPr>
              <w:t>总</w:t>
            </w:r>
            <w:r>
              <w:rPr>
                <w:rFonts w:ascii="宋体" w:hAnsi="宋体" w:eastAsia="宋体" w:cs="宋体"/>
                <w:color w:val="auto"/>
                <w:spacing w:val="-2"/>
              </w:rPr>
              <w:t>计</w:t>
            </w:r>
          </w:p>
        </w:tc>
        <w:tc>
          <w:tcPr>
            <w:tcW w:w="992" w:type="dxa"/>
            <w:vAlign w:val="center"/>
          </w:tcPr>
          <w:p w14:paraId="060B1DDD">
            <w:pPr>
              <w:spacing w:line="240" w:lineRule="exact"/>
              <w:ind w:firstLine="420" w:firstLineChars="200"/>
              <w:rPr>
                <w:color w:val="auto"/>
              </w:rPr>
            </w:pPr>
          </w:p>
        </w:tc>
        <w:tc>
          <w:tcPr>
            <w:tcW w:w="2273" w:type="dxa"/>
            <w:vAlign w:val="center"/>
          </w:tcPr>
          <w:p w14:paraId="060B1DDE">
            <w:pPr>
              <w:spacing w:line="240" w:lineRule="exact"/>
              <w:ind w:firstLine="420" w:firstLineChars="200"/>
              <w:rPr>
                <w:color w:val="auto"/>
              </w:rPr>
            </w:pPr>
          </w:p>
        </w:tc>
      </w:tr>
    </w:tbl>
    <w:p w14:paraId="060B1DE0">
      <w:pPr>
        <w:spacing w:line="570" w:lineRule="exact"/>
        <w:ind w:firstLine="420" w:firstLineChars="200"/>
        <w:rPr>
          <w:rFonts w:hint="eastAsia" w:ascii="宋体" w:hAnsi="宋体" w:eastAsia="宋体" w:cs="宋体"/>
          <w:color w:val="auto"/>
          <w:spacing w:val="-80"/>
        </w:rPr>
      </w:pPr>
      <w:r>
        <w:rPr>
          <w:rFonts w:ascii="宋体" w:hAnsi="宋体" w:eastAsia="宋体" w:cs="宋体"/>
          <w:color w:val="auto"/>
        </w:rPr>
        <w:t>备注</w:t>
      </w:r>
      <w:r>
        <w:rPr>
          <w:rFonts w:hint="eastAsia" w:ascii="宋体" w:hAnsi="宋体" w:eastAsia="宋体" w:cs="宋体"/>
          <w:color w:val="auto"/>
        </w:rPr>
        <w:t>：</w:t>
      </w:r>
      <w:r>
        <w:rPr>
          <w:rFonts w:hint="eastAsia" w:ascii="宋体" w:hAnsi="宋体" w:eastAsia="宋体" w:cs="宋体"/>
          <w:color w:val="auto"/>
          <w:spacing w:val="-80"/>
        </w:rPr>
        <w:t xml:space="preserve"> </w:t>
      </w:r>
      <w:r>
        <w:rPr>
          <w:rFonts w:ascii="宋体" w:hAnsi="宋体" w:eastAsia="宋体" w:cs="宋体"/>
          <w:color w:val="auto"/>
          <w:spacing w:val="-80"/>
        </w:rPr>
        <w:t xml:space="preserve">  </w:t>
      </w:r>
    </w:p>
    <w:p w14:paraId="060B1DE1">
      <w:pPr>
        <w:ind w:firstLine="420" w:firstLineChars="200"/>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spacing w:val="-2"/>
        </w:rPr>
        <w:t>、</w:t>
      </w:r>
      <w:r>
        <w:rPr>
          <w:rFonts w:ascii="宋体" w:hAnsi="宋体" w:eastAsia="宋体" w:cs="宋体"/>
          <w:color w:val="auto"/>
        </w:rPr>
        <w:t>成果自评和测评依据</w:t>
      </w:r>
      <w:r>
        <w:rPr>
          <w:rFonts w:ascii="宋体" w:hAnsi="宋体" w:eastAsia="宋体" w:cs="宋体"/>
          <w:color w:val="auto"/>
        </w:rPr>
        <w:t>《</w:t>
      </w:r>
      <w:r>
        <w:rPr>
          <w:rFonts w:hint="eastAsia" w:ascii="宋体" w:hAnsi="宋体" w:eastAsia="宋体" w:cs="宋体"/>
          <w:color w:val="auto"/>
        </w:rPr>
        <w:t>上海海事大学研究生学位授予成果要求（适用于2025级学生）</w:t>
      </w:r>
      <w:r>
        <w:rPr>
          <w:rFonts w:ascii="宋体" w:hAnsi="宋体" w:eastAsia="宋体" w:cs="宋体"/>
          <w:color w:val="auto"/>
        </w:rPr>
        <w:t>》</w:t>
      </w:r>
      <w:r>
        <w:rPr>
          <w:rFonts w:hint="eastAsia" w:ascii="宋体" w:hAnsi="宋体" w:eastAsia="宋体" w:cs="宋体"/>
          <w:color w:val="auto"/>
        </w:rPr>
        <w:t>；</w:t>
      </w:r>
    </w:p>
    <w:p w14:paraId="060B1DE2">
      <w:pPr>
        <w:ind w:firstLine="412" w:firstLineChars="200"/>
        <w:rPr>
          <w:rFonts w:hint="eastAsia" w:ascii="宋体" w:hAnsi="宋体" w:eastAsia="宋体" w:cs="宋体"/>
          <w:color w:val="auto"/>
        </w:rPr>
      </w:pPr>
      <w:r>
        <w:rPr>
          <w:rFonts w:hint="eastAsia" w:ascii="宋体" w:hAnsi="宋体" w:eastAsia="宋体" w:cs="宋体"/>
          <w:color w:val="auto"/>
          <w:spacing w:val="-2"/>
        </w:rPr>
        <w:t>2、</w:t>
      </w:r>
      <w:r>
        <w:rPr>
          <w:rFonts w:ascii="宋体" w:hAnsi="宋体" w:eastAsia="宋体" w:cs="宋体"/>
          <w:color w:val="auto"/>
        </w:rPr>
        <w:t>测评总分一样的</w:t>
      </w:r>
      <w:r>
        <w:rPr>
          <w:rFonts w:ascii="宋体" w:hAnsi="宋体" w:eastAsia="宋体" w:cs="宋体"/>
          <w:color w:val="auto"/>
          <w:spacing w:val="-2"/>
        </w:rPr>
        <w:t>，</w:t>
      </w:r>
      <w:r>
        <w:rPr>
          <w:rFonts w:ascii="宋体" w:hAnsi="宋体" w:eastAsia="宋体" w:cs="宋体"/>
          <w:color w:val="auto"/>
        </w:rPr>
        <w:t>优先考虑</w:t>
      </w:r>
      <w:r>
        <w:rPr>
          <w:rFonts w:hint="eastAsia" w:ascii="宋体" w:hAnsi="宋体" w:eastAsia="宋体" w:cs="宋体"/>
          <w:color w:val="auto"/>
        </w:rPr>
        <w:t>科研成果分</w:t>
      </w:r>
      <w:r>
        <w:rPr>
          <w:rFonts w:ascii="宋体" w:hAnsi="宋体" w:eastAsia="宋体" w:cs="宋体"/>
          <w:color w:val="auto"/>
        </w:rPr>
        <w:t>较高者</w:t>
      </w:r>
      <w:r>
        <w:rPr>
          <w:rFonts w:hint="eastAsia" w:ascii="宋体" w:hAnsi="宋体" w:eastAsia="宋体" w:cs="宋体"/>
          <w:color w:val="auto"/>
        </w:rPr>
        <w:t>；</w:t>
      </w:r>
    </w:p>
    <w:p w14:paraId="060B1DE3">
      <w:pPr>
        <w:ind w:left="420" w:leftChars="200" w:right="84"/>
        <w:rPr>
          <w:rFonts w:hint="eastAsia" w:ascii="宋体" w:hAnsi="宋体" w:eastAsia="宋体" w:cs="宋体"/>
          <w:color w:val="auto"/>
          <w:spacing w:val="-4"/>
          <w:lang w:eastAsia="zh-CN"/>
        </w:rPr>
      </w:pPr>
      <w:r>
        <w:rPr>
          <w:rFonts w:hint="eastAsia" w:ascii="宋体" w:hAnsi="宋体" w:eastAsia="宋体" w:cs="宋体"/>
          <w:color w:val="auto"/>
        </w:rPr>
        <w:t>3、</w:t>
      </w:r>
      <w:r>
        <w:rPr>
          <w:rFonts w:ascii="宋体" w:hAnsi="宋体" w:eastAsia="宋体" w:cs="宋体"/>
          <w:color w:val="auto"/>
        </w:rPr>
        <w:t>对于</w:t>
      </w:r>
      <w:r>
        <w:rPr>
          <w:rFonts w:ascii="宋体" w:hAnsi="宋体" w:eastAsia="宋体" w:cs="宋体"/>
          <w:color w:val="auto"/>
        </w:rPr>
        <w:t>《</w:t>
      </w:r>
      <w:r>
        <w:rPr>
          <w:rFonts w:hint="eastAsia" w:ascii="宋体" w:hAnsi="宋体" w:eastAsia="宋体" w:cs="宋体"/>
          <w:color w:val="auto"/>
        </w:rPr>
        <w:t>上海海事大学研究生学位授予成果要求（适用于2025级学生）</w:t>
      </w:r>
      <w:r>
        <w:rPr>
          <w:rFonts w:ascii="宋体" w:hAnsi="宋体" w:eastAsia="宋体" w:cs="宋体"/>
          <w:color w:val="auto"/>
        </w:rPr>
        <w:t>》</w:t>
      </w:r>
      <w:r>
        <w:rPr>
          <w:rFonts w:ascii="宋体" w:hAnsi="宋体" w:eastAsia="宋体" w:cs="宋体"/>
          <w:color w:val="auto"/>
        </w:rPr>
        <w:t>中规定的A类</w:t>
      </w:r>
      <w:r>
        <w:rPr>
          <w:rFonts w:ascii="宋体" w:hAnsi="宋体" w:eastAsia="宋体" w:cs="宋体"/>
          <w:color w:val="auto"/>
          <w:spacing w:val="-51"/>
        </w:rPr>
        <w:t>、</w:t>
      </w:r>
      <w:r>
        <w:rPr>
          <w:rFonts w:ascii="宋体" w:hAnsi="宋体" w:eastAsia="宋体" w:cs="宋体"/>
          <w:color w:val="auto"/>
          <w:spacing w:val="-105"/>
        </w:rPr>
        <w:t xml:space="preserve"> </w:t>
      </w:r>
      <w:r>
        <w:rPr>
          <w:rFonts w:ascii="宋体" w:hAnsi="宋体" w:eastAsia="宋体" w:cs="宋体"/>
          <w:color w:val="auto"/>
        </w:rPr>
        <w:t>B类学术论文成果</w:t>
      </w:r>
      <w:r>
        <w:rPr>
          <w:rFonts w:ascii="宋体" w:hAnsi="宋体" w:eastAsia="宋体" w:cs="宋体"/>
          <w:color w:val="auto"/>
          <w:spacing w:val="-51"/>
        </w:rPr>
        <w:t>，</w:t>
      </w:r>
      <w:r>
        <w:rPr>
          <w:rFonts w:ascii="宋体" w:hAnsi="宋体" w:eastAsia="宋体" w:cs="宋体"/>
          <w:color w:val="auto"/>
        </w:rPr>
        <w:t>如不能提供收录证明单篇分值按降两档计分</w:t>
      </w:r>
      <w:r>
        <w:rPr>
          <w:rFonts w:hint="eastAsia" w:ascii="宋体" w:hAnsi="宋体" w:eastAsia="宋体" w:cs="宋体"/>
          <w:color w:val="auto"/>
          <w:lang w:eastAsia="zh-CN"/>
        </w:rPr>
        <w:t>；</w:t>
      </w:r>
    </w:p>
    <w:p w14:paraId="48C83FDD">
      <w:pPr>
        <w:ind w:left="420" w:leftChars="200" w:right="84"/>
        <w:rPr>
          <w:rFonts w:hint="eastAsia" w:ascii="宋体" w:hAnsi="宋体" w:eastAsia="宋体" w:cs="宋体"/>
          <w:color w:val="auto"/>
          <w:spacing w:val="-4"/>
          <w:lang w:val="en-US" w:eastAsia="zh-CN"/>
        </w:rPr>
      </w:pPr>
      <w:r>
        <w:rPr>
          <w:rFonts w:hint="eastAsia" w:ascii="宋体" w:hAnsi="宋体" w:eastAsia="宋体" w:cs="宋体"/>
          <w:color w:val="auto"/>
          <w:spacing w:val="-4"/>
          <w:lang w:val="en-US" w:eastAsia="zh-CN"/>
        </w:rPr>
        <w:t>4、在近三年《国际期刊预警名单》中的期刊上发表的成果不做认定；</w:t>
      </w:r>
    </w:p>
    <w:p w14:paraId="29F2BA57">
      <w:pPr>
        <w:ind w:left="420" w:leftChars="200" w:right="84"/>
        <w:rPr>
          <w:rFonts w:hint="eastAsia" w:ascii="宋体" w:hAnsi="宋体" w:eastAsia="宋体" w:cs="宋体"/>
          <w:color w:val="auto"/>
          <w:spacing w:val="-4"/>
          <w:lang w:val="en-US" w:eastAsia="zh-CN"/>
        </w:rPr>
      </w:pPr>
      <w:r>
        <w:rPr>
          <w:rFonts w:hint="eastAsia" w:ascii="宋体" w:hAnsi="宋体" w:eastAsia="宋体" w:cs="宋体"/>
          <w:color w:val="auto"/>
          <w:spacing w:val="-4"/>
          <w:lang w:val="en-US" w:eastAsia="zh-CN"/>
        </w:rPr>
        <w:t>5、对于在中国研究生创新实践系列大赛获奖的参评硕土研究生，在评定时参照《上海海事大学研究生学位授予成果要求（适用于2025级学生）》标准翻倍计分。</w:t>
      </w:r>
    </w:p>
    <w:p w14:paraId="43340F62">
      <w:pPr>
        <w:ind w:left="420" w:leftChars="200" w:right="84"/>
        <w:rPr>
          <w:rFonts w:hint="default" w:ascii="宋体" w:hAnsi="宋体" w:eastAsia="宋体" w:cs="宋体"/>
          <w:color w:val="auto"/>
          <w:spacing w:val="-4"/>
          <w:lang w:val="en-US" w:eastAsia="zh-CN"/>
        </w:rPr>
      </w:pPr>
      <w:r>
        <w:rPr>
          <w:rFonts w:hint="eastAsia" w:ascii="宋体" w:hAnsi="宋体" w:eastAsia="宋体" w:cs="宋体"/>
          <w:color w:val="auto"/>
          <w:spacing w:val="-4"/>
          <w:lang w:val="en-US" w:eastAsia="zh-CN"/>
        </w:rPr>
        <w:t>6、对专业型硕士研究生参加国际交流和产教融合项目的，根据实际情况</w:t>
      </w:r>
      <w:r>
        <w:rPr>
          <w:rFonts w:hint="eastAsia" w:ascii="宋体" w:hAnsi="宋体" w:eastAsia="宋体" w:cs="宋体"/>
          <w:color w:val="auto"/>
          <w:spacing w:val="-4"/>
          <w:highlight w:val="none"/>
          <w:lang w:val="en-US" w:eastAsia="zh-CN"/>
        </w:rPr>
        <w:t>，适当增加分值。</w:t>
      </w:r>
    </w:p>
    <w:sectPr>
      <w:pgSz w:w="11907" w:h="16839"/>
      <w:pgMar w:top="1111" w:right="1327" w:bottom="0" w:left="1141" w:header="0" w:footer="0" w:gutter="0"/>
      <w:pgNumType w:fmt="numberInDash"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4705492"/>
      <w:docPartObj>
        <w:docPartGallery w:val="autotext"/>
      </w:docPartObj>
    </w:sdtPr>
    <w:sdtContent>
      <w:p w14:paraId="060B1DE4">
        <w:pPr>
          <w:pStyle w:val="4"/>
          <w:jc w:val="cente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sdtContent>
  </w:sdt>
  <w:p w14:paraId="060B1DE5">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2"/>
  </w:compat>
  <w:rsids>
    <w:rsidRoot w:val="00795FF8"/>
    <w:rsid w:val="0002599C"/>
    <w:rsid w:val="000264A9"/>
    <w:rsid w:val="00050D3E"/>
    <w:rsid w:val="000708D5"/>
    <w:rsid w:val="00083D79"/>
    <w:rsid w:val="000E23A6"/>
    <w:rsid w:val="000E27BF"/>
    <w:rsid w:val="000E3F4B"/>
    <w:rsid w:val="00102ED9"/>
    <w:rsid w:val="001107F2"/>
    <w:rsid w:val="0012109E"/>
    <w:rsid w:val="00187341"/>
    <w:rsid w:val="001939BA"/>
    <w:rsid w:val="0019546E"/>
    <w:rsid w:val="001B1569"/>
    <w:rsid w:val="001B25F7"/>
    <w:rsid w:val="001D45B2"/>
    <w:rsid w:val="001E0185"/>
    <w:rsid w:val="00225A85"/>
    <w:rsid w:val="002658C7"/>
    <w:rsid w:val="0029643E"/>
    <w:rsid w:val="002A3165"/>
    <w:rsid w:val="002E524A"/>
    <w:rsid w:val="003044A6"/>
    <w:rsid w:val="00327C06"/>
    <w:rsid w:val="00343456"/>
    <w:rsid w:val="00357DE4"/>
    <w:rsid w:val="00370BC3"/>
    <w:rsid w:val="003869DF"/>
    <w:rsid w:val="00390C7C"/>
    <w:rsid w:val="003A316B"/>
    <w:rsid w:val="003A7458"/>
    <w:rsid w:val="003E1782"/>
    <w:rsid w:val="003E4D24"/>
    <w:rsid w:val="004079A5"/>
    <w:rsid w:val="00446CBC"/>
    <w:rsid w:val="00465A06"/>
    <w:rsid w:val="00467507"/>
    <w:rsid w:val="004735DD"/>
    <w:rsid w:val="004942D0"/>
    <w:rsid w:val="004C78A3"/>
    <w:rsid w:val="004D4DDB"/>
    <w:rsid w:val="004D524E"/>
    <w:rsid w:val="004E1C41"/>
    <w:rsid w:val="004E2658"/>
    <w:rsid w:val="004E2C2F"/>
    <w:rsid w:val="004F7380"/>
    <w:rsid w:val="00511CDE"/>
    <w:rsid w:val="00512CD8"/>
    <w:rsid w:val="005234D5"/>
    <w:rsid w:val="00533A01"/>
    <w:rsid w:val="00540603"/>
    <w:rsid w:val="0054623F"/>
    <w:rsid w:val="00557BC9"/>
    <w:rsid w:val="0057687E"/>
    <w:rsid w:val="00583AFB"/>
    <w:rsid w:val="005A18AF"/>
    <w:rsid w:val="005D5518"/>
    <w:rsid w:val="005F06A8"/>
    <w:rsid w:val="005F3371"/>
    <w:rsid w:val="00615992"/>
    <w:rsid w:val="00625B29"/>
    <w:rsid w:val="0064292A"/>
    <w:rsid w:val="00661811"/>
    <w:rsid w:val="0068182D"/>
    <w:rsid w:val="006A0FEA"/>
    <w:rsid w:val="006C5721"/>
    <w:rsid w:val="006D1EC6"/>
    <w:rsid w:val="006D3EF2"/>
    <w:rsid w:val="006D6DCB"/>
    <w:rsid w:val="006D7712"/>
    <w:rsid w:val="0072148E"/>
    <w:rsid w:val="00761FAE"/>
    <w:rsid w:val="0078011D"/>
    <w:rsid w:val="00795FF8"/>
    <w:rsid w:val="007A7A36"/>
    <w:rsid w:val="007E11FA"/>
    <w:rsid w:val="007F3FF6"/>
    <w:rsid w:val="008414A0"/>
    <w:rsid w:val="008520D8"/>
    <w:rsid w:val="00860002"/>
    <w:rsid w:val="008F25AC"/>
    <w:rsid w:val="00903598"/>
    <w:rsid w:val="00910F45"/>
    <w:rsid w:val="00931494"/>
    <w:rsid w:val="00934758"/>
    <w:rsid w:val="00953ABA"/>
    <w:rsid w:val="00961E0F"/>
    <w:rsid w:val="00966EF0"/>
    <w:rsid w:val="00967B7A"/>
    <w:rsid w:val="009A3C73"/>
    <w:rsid w:val="009A7557"/>
    <w:rsid w:val="009B1174"/>
    <w:rsid w:val="009D0BA7"/>
    <w:rsid w:val="009E657C"/>
    <w:rsid w:val="009F69A3"/>
    <w:rsid w:val="00A04E7D"/>
    <w:rsid w:val="00A30BDA"/>
    <w:rsid w:val="00A3505E"/>
    <w:rsid w:val="00A50D87"/>
    <w:rsid w:val="00A82599"/>
    <w:rsid w:val="00A95060"/>
    <w:rsid w:val="00A9702B"/>
    <w:rsid w:val="00AC425A"/>
    <w:rsid w:val="00AD1ACA"/>
    <w:rsid w:val="00AD6C37"/>
    <w:rsid w:val="00AE3687"/>
    <w:rsid w:val="00AF059F"/>
    <w:rsid w:val="00B00F70"/>
    <w:rsid w:val="00B02092"/>
    <w:rsid w:val="00B44847"/>
    <w:rsid w:val="00B558F6"/>
    <w:rsid w:val="00B84A53"/>
    <w:rsid w:val="00B97D75"/>
    <w:rsid w:val="00BB5B3E"/>
    <w:rsid w:val="00BC1390"/>
    <w:rsid w:val="00BD3ADA"/>
    <w:rsid w:val="00C57497"/>
    <w:rsid w:val="00C76E80"/>
    <w:rsid w:val="00C91774"/>
    <w:rsid w:val="00CA48EE"/>
    <w:rsid w:val="00CD23B0"/>
    <w:rsid w:val="00D01A68"/>
    <w:rsid w:val="00D1608D"/>
    <w:rsid w:val="00D1781A"/>
    <w:rsid w:val="00D54497"/>
    <w:rsid w:val="00D5580E"/>
    <w:rsid w:val="00D8339D"/>
    <w:rsid w:val="00D85800"/>
    <w:rsid w:val="00DA17EA"/>
    <w:rsid w:val="00DA2352"/>
    <w:rsid w:val="00DC02F0"/>
    <w:rsid w:val="00DD53BF"/>
    <w:rsid w:val="00DD69CE"/>
    <w:rsid w:val="00DF5901"/>
    <w:rsid w:val="00E32458"/>
    <w:rsid w:val="00E4098B"/>
    <w:rsid w:val="00E4673A"/>
    <w:rsid w:val="00E923A7"/>
    <w:rsid w:val="00EC7493"/>
    <w:rsid w:val="00EE0C4E"/>
    <w:rsid w:val="00EE5551"/>
    <w:rsid w:val="00EF794A"/>
    <w:rsid w:val="00F36C43"/>
    <w:rsid w:val="00F57C2F"/>
    <w:rsid w:val="00F74278"/>
    <w:rsid w:val="00F85F46"/>
    <w:rsid w:val="00F9035D"/>
    <w:rsid w:val="00FB1E1B"/>
    <w:rsid w:val="00FC1B3F"/>
    <w:rsid w:val="00FC54AD"/>
    <w:rsid w:val="00FD2A37"/>
    <w:rsid w:val="00FF26FD"/>
    <w:rsid w:val="0FD7617F"/>
    <w:rsid w:val="16A73467"/>
    <w:rsid w:val="189B5551"/>
    <w:rsid w:val="20DE6C42"/>
    <w:rsid w:val="224C1096"/>
    <w:rsid w:val="403A57EB"/>
    <w:rsid w:val="48C5011C"/>
    <w:rsid w:val="509C604E"/>
    <w:rsid w:val="57664CC0"/>
    <w:rsid w:val="63CE5114"/>
    <w:rsid w:val="64F8789F"/>
    <w:rsid w:val="667F6989"/>
    <w:rsid w:val="66AA6977"/>
    <w:rsid w:val="688B0A2A"/>
    <w:rsid w:val="716A38D3"/>
    <w:rsid w:val="72457E9C"/>
    <w:rsid w:val="7DD16CB9"/>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pPr>
    <w:rPr>
      <w:sz w:val="18"/>
      <w:szCs w:val="18"/>
    </w:rPr>
  </w:style>
  <w:style w:type="paragraph" w:styleId="5">
    <w:name w:val="header"/>
    <w:basedOn w:val="1"/>
    <w:link w:val="13"/>
    <w:unhideWhenUsed/>
    <w:qFormat/>
    <w:uiPriority w:val="99"/>
    <w:pPr>
      <w:tabs>
        <w:tab w:val="center" w:pos="4153"/>
        <w:tab w:val="right" w:pos="8306"/>
      </w:tabs>
      <w:jc w:val="center"/>
    </w:pPr>
    <w:rPr>
      <w:sz w:val="18"/>
      <w:szCs w:val="18"/>
    </w:rPr>
  </w:style>
  <w:style w:type="paragraph" w:styleId="6">
    <w:name w:val="Normal (Web)"/>
    <w:basedOn w:val="1"/>
    <w:semiHidden/>
    <w:unhideWhenUsed/>
    <w:qFormat/>
    <w:uiPriority w:val="99"/>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rPr>
  </w:style>
  <w:style w:type="character" w:styleId="9">
    <w:name w:val="Strong"/>
    <w:basedOn w:val="8"/>
    <w:qFormat/>
    <w:uiPriority w:val="22"/>
    <w:rPr>
      <w:b/>
      <w:bCs/>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chs"/>
    <w:basedOn w:val="1"/>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rPr>
  </w:style>
  <w:style w:type="character" w:customStyle="1" w:styleId="12">
    <w:name w:val="批注框文本 字符"/>
    <w:basedOn w:val="8"/>
    <w:link w:val="3"/>
    <w:semiHidden/>
    <w:qFormat/>
    <w:uiPriority w:val="99"/>
    <w:rPr>
      <w:sz w:val="18"/>
      <w:szCs w:val="18"/>
    </w:rPr>
  </w:style>
  <w:style w:type="character" w:customStyle="1" w:styleId="13">
    <w:name w:val="页眉 字符"/>
    <w:basedOn w:val="8"/>
    <w:link w:val="5"/>
    <w:qFormat/>
    <w:uiPriority w:val="99"/>
    <w:rPr>
      <w:snapToGrid w:val="0"/>
      <w:color w:val="000000"/>
      <w:sz w:val="18"/>
      <w:szCs w:val="18"/>
    </w:rPr>
  </w:style>
  <w:style w:type="character" w:customStyle="1" w:styleId="14">
    <w:name w:val="页脚 字符"/>
    <w:basedOn w:val="8"/>
    <w:link w:val="4"/>
    <w:qFormat/>
    <w:uiPriority w:val="99"/>
    <w:rPr>
      <w:snapToGrid w:val="0"/>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88637-DB13-447D-AF9C-203CBC007BB7}">
  <ds:schemaRefs/>
</ds:datastoreItem>
</file>

<file path=docProps/app.xml><?xml version="1.0" encoding="utf-8"?>
<Properties xmlns="http://schemas.openxmlformats.org/officeDocument/2006/extended-properties" xmlns:vt="http://schemas.openxmlformats.org/officeDocument/2006/docPropsVTypes">
  <Template>Normal</Template>
  <Pages>6</Pages>
  <Words>2382</Words>
  <Characters>2517</Characters>
  <Lines>108</Lines>
  <Paragraphs>105</Paragraphs>
  <TotalTime>12</TotalTime>
  <ScaleCrop>false</ScaleCrop>
  <LinksUpToDate>false</LinksUpToDate>
  <CharactersWithSpaces>2549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2023-09-19T08:56:00Z</dcterms:created>
  <dc:creator>微软用户</dc:creator>
  <cp:lastModifiedBy>高睿</cp:lastModifiedBy>
  <cp:lastPrinted>2025-09-15T05:29:00Z</cp:lastPrinted>
  <dcterms:modified xsi:type="dcterms:W3CDTF">2026-09-13T05:05:02Z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55BB70E0CC424FEEBDE07B403136D1EE</vt:lpwstr>
  </property>
  <property fmtid="{D5CDD505-2E9C-101B-9397-08002B2CF9AE}" pid="4" name="KSOTemplateDocerSaveRecord">
    <vt:lpwstr>eyJoZGlkIjoiODY3MDNlNzU5YmIwZjg4N2EzMDdmZjkzMzA3ODEyNTgiLCJ1c2VySWQiOiIxNjE0NjIwMDY0In0=</vt:lpwstr>
  </property>
</Properties>
</file>