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38731">
      <w:pPr>
        <w:keepNext w:val="0"/>
        <w:keepLines w:val="0"/>
        <w:pageBreakBefore w:val="0"/>
        <w:kinsoku/>
        <w:wordWrap/>
        <w:overflowPunct/>
        <w:topLinePunct w:val="0"/>
        <w:autoSpaceDE/>
        <w:autoSpaceDN/>
        <w:bidi w:val="0"/>
        <w:adjustRightInd w:val="0"/>
        <w:snapToGrid w:val="0"/>
        <w:spacing w:before="100" w:beforeAutospacing="1" w:after="100" w:afterAutospacing="1" w:line="570" w:lineRule="exact"/>
        <w:jc w:val="center"/>
        <w:rPr>
          <w:rFonts w:ascii="方正小标宋简体" w:hAnsi="宋体" w:eastAsia="方正小标宋简体" w:cs="微软雅黑"/>
          <w:sz w:val="44"/>
          <w:szCs w:val="44"/>
        </w:rPr>
      </w:pPr>
      <w:r>
        <w:rPr>
          <w:rFonts w:hint="eastAsia" w:ascii="方正小标宋简体" w:hAnsi="宋体" w:eastAsia="方正小标宋简体" w:cs="微软雅黑"/>
          <w:sz w:val="44"/>
          <w:szCs w:val="44"/>
        </w:rPr>
        <w:t>商船学院202</w:t>
      </w:r>
      <w:r>
        <w:rPr>
          <w:rFonts w:hint="eastAsia" w:ascii="方正小标宋简体" w:hAnsi="宋体" w:eastAsia="方正小标宋简体" w:cs="微软雅黑"/>
          <w:sz w:val="44"/>
          <w:szCs w:val="44"/>
          <w:lang w:val="en-US" w:eastAsia="zh-CN"/>
        </w:rPr>
        <w:t>5</w:t>
      </w:r>
      <w:r>
        <w:rPr>
          <w:rFonts w:hint="eastAsia" w:ascii="方正小标宋简体" w:hAnsi="宋体" w:eastAsia="方正小标宋简体" w:cs="微软雅黑"/>
          <w:sz w:val="44"/>
          <w:szCs w:val="44"/>
        </w:rPr>
        <w:t>-202</w:t>
      </w:r>
      <w:r>
        <w:rPr>
          <w:rFonts w:hint="eastAsia" w:ascii="方正小标宋简体" w:hAnsi="宋体" w:eastAsia="方正小标宋简体" w:cs="微软雅黑"/>
          <w:sz w:val="44"/>
          <w:szCs w:val="44"/>
          <w:lang w:val="en-US" w:eastAsia="zh-CN"/>
        </w:rPr>
        <w:t>6</w:t>
      </w:r>
      <w:r>
        <w:rPr>
          <w:rFonts w:hint="eastAsia" w:ascii="方正小标宋简体" w:hAnsi="宋体" w:eastAsia="方正小标宋简体" w:cs="微软雅黑"/>
          <w:sz w:val="44"/>
          <w:szCs w:val="44"/>
        </w:rPr>
        <w:t>学年硕士研究生学业奖学金评选细则</w:t>
      </w:r>
    </w:p>
    <w:p w14:paraId="38A38732">
      <w:pPr>
        <w:keepNext w:val="0"/>
        <w:keepLines w:val="0"/>
        <w:pageBreakBefore w:val="0"/>
        <w:kinsoku/>
        <w:wordWrap/>
        <w:overflowPunct/>
        <w:topLinePunct w:val="0"/>
        <w:autoSpaceDE/>
        <w:autoSpaceDN/>
        <w:bidi w:val="0"/>
        <w:adjustRightInd w:val="0"/>
        <w:snapToGrid w:val="0"/>
        <w:spacing w:before="100" w:beforeAutospacing="1" w:after="100" w:afterAutospacing="1" w:line="570" w:lineRule="exact"/>
        <w:jc w:val="center"/>
        <w:rPr>
          <w:rFonts w:ascii="仿宋_GB2312" w:hAnsi="宋体" w:eastAsia="仿宋_GB2312" w:cs="微软雅黑"/>
          <w:sz w:val="32"/>
          <w:szCs w:val="32"/>
        </w:rPr>
      </w:pPr>
      <w:bookmarkStart w:id="0" w:name="_Hlk176973325"/>
      <w:r>
        <w:rPr>
          <w:rFonts w:hint="eastAsia" w:ascii="仿宋_GB2312" w:hAnsi="宋体" w:eastAsia="仿宋_GB2312" w:cs="微软雅黑"/>
          <w:sz w:val="32"/>
          <w:szCs w:val="32"/>
        </w:rPr>
        <w:t>202</w:t>
      </w:r>
      <w:r>
        <w:rPr>
          <w:rFonts w:hint="eastAsia" w:ascii="仿宋_GB2312" w:hAnsi="宋体" w:eastAsia="仿宋_GB2312" w:cs="微软雅黑"/>
          <w:sz w:val="32"/>
          <w:szCs w:val="32"/>
          <w:lang w:val="en-US" w:eastAsia="zh-CN"/>
        </w:rPr>
        <w:t>6</w:t>
      </w:r>
      <w:r>
        <w:rPr>
          <w:rFonts w:hint="eastAsia" w:ascii="仿宋_GB2312" w:hAnsi="宋体" w:eastAsia="仿宋_GB2312" w:cs="微软雅黑"/>
          <w:sz w:val="32"/>
          <w:szCs w:val="32"/>
        </w:rPr>
        <w:t>年</w:t>
      </w:r>
      <w:r>
        <w:rPr>
          <w:rFonts w:ascii="仿宋_GB2312" w:hAnsi="宋体" w:eastAsia="仿宋_GB2312" w:cs="微软雅黑"/>
          <w:sz w:val="32"/>
          <w:szCs w:val="32"/>
        </w:rPr>
        <w:t>9</w:t>
      </w:r>
      <w:r>
        <w:rPr>
          <w:rFonts w:hint="eastAsia" w:ascii="仿宋_GB2312" w:hAnsi="宋体" w:eastAsia="仿宋_GB2312" w:cs="微软雅黑"/>
          <w:sz w:val="32"/>
          <w:szCs w:val="32"/>
        </w:rPr>
        <w:t>月</w:t>
      </w:r>
    </w:p>
    <w:bookmarkEnd w:id="0"/>
    <w:p w14:paraId="38A38733">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仿宋_GB2312" w:hAnsi="宋体" w:eastAsia="仿宋_GB2312" w:cs="微软雅黑"/>
          <w:sz w:val="32"/>
          <w:szCs w:val="32"/>
        </w:rPr>
      </w:pPr>
      <w:r>
        <w:rPr>
          <w:rFonts w:hint="eastAsia" w:ascii="仿宋_GB2312" w:hAnsi="宋体" w:eastAsia="仿宋_GB2312" w:cs="微软雅黑"/>
          <w:b/>
          <w:bCs/>
          <w:sz w:val="32"/>
          <w:szCs w:val="32"/>
        </w:rPr>
        <w:t>第一条</w:t>
      </w:r>
      <w:r>
        <w:rPr>
          <w:rFonts w:ascii="仿宋_GB2312" w:hAnsi="宋体" w:eastAsia="仿宋_GB2312" w:cs="微软雅黑"/>
          <w:sz w:val="32"/>
          <w:szCs w:val="32"/>
        </w:rPr>
        <w:tab/>
      </w:r>
      <w:r>
        <w:rPr>
          <w:rFonts w:ascii="仿宋_GB2312" w:hAnsi="宋体" w:eastAsia="仿宋_GB2312" w:cs="微软雅黑"/>
          <w:sz w:val="32"/>
          <w:szCs w:val="32"/>
        </w:rPr>
        <w:t xml:space="preserve"> </w:t>
      </w:r>
      <w:r>
        <w:rPr>
          <w:rFonts w:hint="eastAsia" w:ascii="仿宋_GB2312" w:hAnsi="宋体" w:eastAsia="仿宋_GB2312" w:cs="微软雅黑"/>
          <w:sz w:val="32"/>
          <w:szCs w:val="32"/>
        </w:rPr>
        <w:t>为提高生源质量，激励研究生勤奋学习、潜心科研、勇于创新、积极进取，促进学校学位与研究生教育工作的发展，吸引更多优秀考生报考我校，结合学校实际情况，落实《上海海事大学研究生奖助学金管理办法》（沪海大研〔2024〕108号）文件精神，商船学院特制定202</w:t>
      </w:r>
      <w:r>
        <w:rPr>
          <w:rFonts w:hint="eastAsia" w:ascii="仿宋_GB2312" w:hAnsi="宋体" w:eastAsia="仿宋_GB2312" w:cs="微软雅黑"/>
          <w:sz w:val="32"/>
          <w:szCs w:val="32"/>
          <w:lang w:val="en-US" w:eastAsia="zh-CN"/>
        </w:rPr>
        <w:t>4</w:t>
      </w:r>
      <w:r>
        <w:rPr>
          <w:rFonts w:hint="eastAsia" w:ascii="仿宋_GB2312" w:hAnsi="宋体" w:eastAsia="仿宋_GB2312" w:cs="微软雅黑"/>
          <w:sz w:val="32"/>
          <w:szCs w:val="32"/>
        </w:rPr>
        <w:t>级、202</w:t>
      </w:r>
      <w:r>
        <w:rPr>
          <w:rFonts w:hint="eastAsia" w:ascii="仿宋_GB2312" w:hAnsi="宋体" w:eastAsia="仿宋_GB2312" w:cs="微软雅黑"/>
          <w:sz w:val="32"/>
          <w:szCs w:val="32"/>
          <w:lang w:val="en-US" w:eastAsia="zh-CN"/>
        </w:rPr>
        <w:t>5</w:t>
      </w:r>
      <w:r>
        <w:rPr>
          <w:rFonts w:hint="eastAsia" w:ascii="仿宋_GB2312" w:hAnsi="宋体" w:eastAsia="仿宋_GB2312" w:cs="微软雅黑"/>
          <w:sz w:val="32"/>
          <w:szCs w:val="32"/>
        </w:rPr>
        <w:t>级、202</w:t>
      </w:r>
      <w:r>
        <w:rPr>
          <w:rFonts w:hint="eastAsia" w:ascii="仿宋_GB2312" w:hAnsi="宋体" w:eastAsia="仿宋_GB2312" w:cs="微软雅黑"/>
          <w:sz w:val="32"/>
          <w:szCs w:val="32"/>
          <w:lang w:val="en-US" w:eastAsia="zh-CN"/>
        </w:rPr>
        <w:t>6</w:t>
      </w:r>
      <w:r>
        <w:rPr>
          <w:rFonts w:hint="eastAsia" w:ascii="仿宋_GB2312" w:hAnsi="宋体" w:eastAsia="仿宋_GB2312" w:cs="微软雅黑"/>
          <w:sz w:val="32"/>
          <w:szCs w:val="32"/>
        </w:rPr>
        <w:t>级硕士研究生的学业奖学金的评选细则。</w:t>
      </w:r>
    </w:p>
    <w:p w14:paraId="38A38734">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仿宋_GB2312" w:hAnsi="宋体" w:eastAsia="仿宋_GB2312" w:cs="微软雅黑"/>
          <w:sz w:val="32"/>
          <w:szCs w:val="32"/>
        </w:rPr>
      </w:pPr>
      <w:r>
        <w:rPr>
          <w:rFonts w:hint="eastAsia" w:ascii="仿宋_GB2312" w:hAnsi="宋体" w:eastAsia="仿宋_GB2312" w:cs="微软雅黑"/>
          <w:b/>
          <w:bCs/>
          <w:sz w:val="32"/>
          <w:szCs w:val="32"/>
        </w:rPr>
        <w:t>第二条</w:t>
      </w:r>
      <w:r>
        <w:rPr>
          <w:rFonts w:ascii="仿宋_GB2312" w:hAnsi="宋体" w:eastAsia="仿宋_GB2312" w:cs="微软雅黑"/>
          <w:b/>
          <w:bCs/>
          <w:sz w:val="32"/>
          <w:szCs w:val="32"/>
        </w:rPr>
        <w:tab/>
      </w:r>
      <w:r>
        <w:rPr>
          <w:rFonts w:ascii="仿宋_GB2312" w:hAnsi="宋体" w:eastAsia="仿宋_GB2312" w:cs="微软雅黑"/>
          <w:b/>
          <w:bCs/>
          <w:sz w:val="32"/>
          <w:szCs w:val="32"/>
        </w:rPr>
        <w:t xml:space="preserve"> </w:t>
      </w:r>
      <w:r>
        <w:rPr>
          <w:rFonts w:hint="eastAsia" w:ascii="仿宋_GB2312" w:hAnsi="宋体" w:eastAsia="仿宋_GB2312" w:cs="微软雅黑"/>
          <w:sz w:val="32"/>
          <w:szCs w:val="32"/>
        </w:rPr>
        <w:t>评选对象：</w:t>
      </w:r>
    </w:p>
    <w:p w14:paraId="38A38736">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sz w:val="32"/>
          <w:szCs w:val="32"/>
        </w:rPr>
      </w:pPr>
      <w:r>
        <w:rPr>
          <w:rFonts w:hint="eastAsia" w:ascii="仿宋_GB2312" w:hAnsi="宋体" w:eastAsia="仿宋_GB2312" w:cs="微软雅黑"/>
          <w:sz w:val="32"/>
          <w:szCs w:val="32"/>
        </w:rPr>
        <w:t>基本学制年限内的中国籍非定向在校全日制硕士研究生。根据中华人民共和国教育部令第41号《普通高等学校学生管理规定》第十二条规定未按学校规定缴纳学费，不予注册，也无法申请学业奖学金（申请助学贷款学生等特殊学生除外，但需要提供贷款证明等相关材料）。</w:t>
      </w:r>
    </w:p>
    <w:p w14:paraId="38A38737">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仿宋_GB2312" w:hAnsi="宋体" w:eastAsia="仿宋_GB2312" w:cs="微软雅黑"/>
          <w:sz w:val="32"/>
          <w:szCs w:val="32"/>
        </w:rPr>
      </w:pPr>
      <w:r>
        <w:rPr>
          <w:rFonts w:hint="eastAsia" w:ascii="仿宋_GB2312" w:hAnsi="宋体" w:eastAsia="仿宋_GB2312" w:cs="微软雅黑"/>
          <w:b/>
          <w:bCs/>
          <w:sz w:val="32"/>
          <w:szCs w:val="32"/>
        </w:rPr>
        <w:t>第三条</w:t>
      </w:r>
      <w:r>
        <w:rPr>
          <w:rFonts w:ascii="仿宋_GB2312" w:hAnsi="宋体" w:eastAsia="仿宋_GB2312" w:cs="微软雅黑"/>
          <w:b/>
          <w:bCs/>
          <w:sz w:val="32"/>
          <w:szCs w:val="32"/>
        </w:rPr>
        <w:tab/>
      </w:r>
      <w:r>
        <w:rPr>
          <w:rFonts w:ascii="仿宋_GB2312" w:hAnsi="宋体" w:eastAsia="仿宋_GB2312" w:cs="微软雅黑"/>
          <w:b/>
          <w:bCs/>
          <w:sz w:val="32"/>
          <w:szCs w:val="32"/>
        </w:rPr>
        <w:t xml:space="preserve"> </w:t>
      </w:r>
      <w:r>
        <w:rPr>
          <w:rFonts w:hint="eastAsia" w:ascii="仿宋_GB2312" w:hAnsi="宋体" w:eastAsia="仿宋_GB2312" w:cs="微软雅黑"/>
          <w:sz w:val="32"/>
          <w:szCs w:val="32"/>
        </w:rPr>
        <w:t>本奖学金评选实施细则不适用于学院设置的其它各类专项研究生奖学金。</w:t>
      </w:r>
    </w:p>
    <w:p w14:paraId="53AED80F">
      <w:pPr>
        <w:keepNext w:val="0"/>
        <w:keepLines w:val="0"/>
        <w:pageBreakBefore w:val="0"/>
        <w:kinsoku/>
        <w:wordWrap/>
        <w:overflowPunct/>
        <w:topLinePunct w:val="0"/>
        <w:autoSpaceDE/>
        <w:autoSpaceDN/>
        <w:bidi w:val="0"/>
        <w:adjustRightInd w:val="0"/>
        <w:snapToGrid w:val="0"/>
        <w:spacing w:line="570" w:lineRule="exact"/>
        <w:ind w:firstLine="643" w:firstLineChars="200"/>
        <w:rPr>
          <w:rFonts w:hint="eastAsia" w:ascii="仿宋_GB2312" w:hAnsi="宋体" w:eastAsia="仿宋_GB2312" w:cs="微软雅黑"/>
          <w:sz w:val="32"/>
          <w:szCs w:val="32"/>
        </w:rPr>
      </w:pPr>
      <w:r>
        <w:rPr>
          <w:rFonts w:hint="eastAsia" w:ascii="仿宋_GB2312" w:hAnsi="宋体" w:eastAsia="仿宋_GB2312" w:cs="微软雅黑"/>
          <w:b/>
          <w:bCs/>
          <w:sz w:val="32"/>
          <w:szCs w:val="32"/>
        </w:rPr>
        <w:t>第四条</w:t>
      </w:r>
      <w:r>
        <w:rPr>
          <w:rFonts w:ascii="仿宋_GB2312" w:hAnsi="宋体" w:eastAsia="仿宋_GB2312" w:cs="微软雅黑"/>
          <w:sz w:val="32"/>
          <w:szCs w:val="32"/>
        </w:rPr>
        <w:tab/>
      </w:r>
      <w:r>
        <w:rPr>
          <w:rFonts w:ascii="仿宋_GB2312" w:hAnsi="宋体" w:eastAsia="仿宋_GB2312" w:cs="微软雅黑"/>
          <w:sz w:val="32"/>
          <w:szCs w:val="32"/>
        </w:rPr>
        <w:t xml:space="preserve"> </w:t>
      </w:r>
      <w:r>
        <w:rPr>
          <w:rFonts w:hint="eastAsia" w:ascii="仿宋_GB2312" w:hAnsi="宋体" w:eastAsia="仿宋_GB2312" w:cs="微软雅黑"/>
          <w:sz w:val="32"/>
          <w:szCs w:val="32"/>
        </w:rPr>
        <w:t>硕士研究生学业奖学金评选条件：</w:t>
      </w:r>
    </w:p>
    <w:p w14:paraId="129760E3">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sz w:val="32"/>
          <w:szCs w:val="32"/>
        </w:rPr>
      </w:pPr>
      <w:r>
        <w:rPr>
          <w:rFonts w:hint="eastAsia" w:ascii="仿宋_GB2312" w:hAnsi="宋体" w:eastAsia="仿宋_GB2312" w:cs="微软雅黑"/>
          <w:sz w:val="32"/>
          <w:szCs w:val="32"/>
        </w:rPr>
        <w:t>1.热爱社会主义祖国，拥护中国共产党的领导；</w:t>
      </w:r>
    </w:p>
    <w:p w14:paraId="18FF4C58">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sz w:val="32"/>
          <w:szCs w:val="32"/>
        </w:rPr>
      </w:pPr>
      <w:r>
        <w:rPr>
          <w:rFonts w:hint="eastAsia" w:ascii="仿宋_GB2312" w:hAnsi="宋体" w:eastAsia="仿宋_GB2312" w:cs="微软雅黑"/>
          <w:sz w:val="32"/>
          <w:szCs w:val="32"/>
        </w:rPr>
        <w:t>2.遵守宪法和法律，遵守学校规章制度；</w:t>
      </w:r>
    </w:p>
    <w:p w14:paraId="138E93B7">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sz w:val="32"/>
          <w:szCs w:val="32"/>
        </w:rPr>
      </w:pPr>
      <w:r>
        <w:rPr>
          <w:rFonts w:hint="eastAsia" w:ascii="仿宋_GB2312" w:hAnsi="宋体" w:eastAsia="仿宋_GB2312" w:cs="微软雅黑"/>
          <w:sz w:val="32"/>
          <w:szCs w:val="32"/>
        </w:rPr>
        <w:t>3.诚实守信，品学兼优；</w:t>
      </w:r>
    </w:p>
    <w:p w14:paraId="6AF37C56">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sz w:val="32"/>
          <w:szCs w:val="32"/>
        </w:rPr>
      </w:pPr>
      <w:r>
        <w:rPr>
          <w:rFonts w:hint="eastAsia" w:ascii="仿宋_GB2312" w:hAnsi="宋体" w:eastAsia="仿宋_GB2312" w:cs="微软雅黑"/>
          <w:sz w:val="32"/>
          <w:szCs w:val="32"/>
        </w:rPr>
        <w:t>4.有较强的科研潜力；</w:t>
      </w:r>
    </w:p>
    <w:p w14:paraId="521B3BFF">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sz w:val="32"/>
          <w:szCs w:val="32"/>
        </w:rPr>
      </w:pPr>
      <w:r>
        <w:rPr>
          <w:rFonts w:hint="eastAsia" w:ascii="仿宋_GB2312" w:hAnsi="宋体" w:eastAsia="仿宋_GB2312" w:cs="微软雅黑"/>
          <w:sz w:val="32"/>
          <w:szCs w:val="32"/>
        </w:rPr>
        <w:t>在具备以上基本条件的前提下：</w:t>
      </w:r>
    </w:p>
    <w:p w14:paraId="612C7CCA">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sz w:val="32"/>
          <w:szCs w:val="32"/>
        </w:rPr>
      </w:pPr>
      <w:r>
        <w:rPr>
          <w:rFonts w:hint="eastAsia" w:ascii="仿宋_GB2312" w:hAnsi="宋体" w:eastAsia="仿宋_GB2312" w:cs="微软雅黑"/>
          <w:sz w:val="32"/>
          <w:szCs w:val="32"/>
        </w:rPr>
        <w:t>（1）对象为新入学硕士研究生：根据研究生入学考试初试、复试成绩以及考生背景等因素进行综合排序，择优确定获奖研究生及获奖等级；</w:t>
      </w:r>
    </w:p>
    <w:p w14:paraId="38A3873C">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sz w:val="32"/>
          <w:szCs w:val="32"/>
        </w:rPr>
      </w:pPr>
      <w:r>
        <w:rPr>
          <w:rFonts w:hint="eastAsia" w:ascii="仿宋_GB2312" w:hAnsi="宋体" w:eastAsia="仿宋_GB2312" w:cs="微软雅黑"/>
          <w:sz w:val="32"/>
          <w:szCs w:val="32"/>
        </w:rPr>
        <w:t>（2）对象为二年级和三年级硕士研究生：根据研究生学习成绩、科研创新能力和社会实践能力等因素进行综合考虑确定学业奖学金的等级。</w:t>
      </w:r>
    </w:p>
    <w:p w14:paraId="38A3873D">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仿宋_GB2312" w:hAnsi="宋体" w:eastAsia="仿宋_GB2312" w:cs="微软雅黑"/>
          <w:sz w:val="32"/>
          <w:szCs w:val="32"/>
        </w:rPr>
      </w:pPr>
      <w:r>
        <w:rPr>
          <w:rFonts w:hint="eastAsia" w:ascii="仿宋_GB2312" w:hAnsi="宋体" w:eastAsia="仿宋_GB2312" w:cs="微软雅黑"/>
          <w:b/>
          <w:bCs/>
          <w:sz w:val="32"/>
          <w:szCs w:val="32"/>
        </w:rPr>
        <w:t>第五条</w:t>
      </w:r>
      <w:r>
        <w:rPr>
          <w:rFonts w:ascii="仿宋_GB2312" w:hAnsi="宋体" w:eastAsia="仿宋_GB2312" w:cs="微软雅黑"/>
          <w:sz w:val="32"/>
          <w:szCs w:val="32"/>
        </w:rPr>
        <w:tab/>
      </w:r>
      <w:r>
        <w:rPr>
          <w:rFonts w:ascii="仿宋_GB2312" w:hAnsi="宋体" w:eastAsia="仿宋_GB2312" w:cs="微软雅黑"/>
          <w:sz w:val="32"/>
          <w:szCs w:val="32"/>
        </w:rPr>
        <w:t xml:space="preserve"> </w:t>
      </w:r>
      <w:r>
        <w:rPr>
          <w:rFonts w:hint="eastAsia" w:ascii="仿宋_GB2312" w:hAnsi="宋体" w:eastAsia="仿宋_GB2312" w:cs="微软雅黑"/>
          <w:sz w:val="32"/>
          <w:szCs w:val="32"/>
        </w:rPr>
        <w:t>学业奖学金奖励额度和评选名额：</w:t>
      </w:r>
    </w:p>
    <w:p w14:paraId="57CA0B94">
      <w:pPr>
        <w:keepNext w:val="0"/>
        <w:keepLines w:val="0"/>
        <w:pageBreakBefore w:val="0"/>
        <w:kinsoku/>
        <w:wordWrap/>
        <w:overflowPunct/>
        <w:topLinePunct w:val="0"/>
        <w:autoSpaceDE/>
        <w:autoSpaceDN/>
        <w:bidi w:val="0"/>
        <w:adjustRightInd w:val="0"/>
        <w:snapToGrid w:val="0"/>
        <w:spacing w:line="570" w:lineRule="exact"/>
        <w:ind w:firstLine="640" w:firstLineChars="200"/>
        <w:rPr>
          <w:rFonts w:hint="eastAsia" w:ascii="仿宋_GB2312" w:hAnsi="宋体" w:eastAsia="仿宋_GB2312" w:cs="微软雅黑"/>
          <w:color w:val="auto"/>
          <w:sz w:val="32"/>
          <w:szCs w:val="32"/>
        </w:rPr>
      </w:pPr>
      <w:r>
        <w:rPr>
          <w:rFonts w:hint="eastAsia" w:ascii="仿宋_GB2312" w:hAnsi="宋体" w:eastAsia="仿宋_GB2312" w:cs="微软雅黑"/>
          <w:sz w:val="32"/>
          <w:szCs w:val="32"/>
        </w:rPr>
        <w:t>研究生学业奖学金奖励额度和比例见《上海海事大学研究生奖助学金管理办法》（沪海大研〔2024〕108号）。硕士研究生学业奖学金按照各学科专业型和学术型分开进行评选。具体</w:t>
      </w:r>
      <w:r>
        <w:rPr>
          <w:rFonts w:hint="eastAsia" w:ascii="仿宋_GB2312" w:hAnsi="宋体" w:eastAsia="仿宋_GB2312" w:cs="微软雅黑"/>
          <w:color w:val="auto"/>
          <w:sz w:val="32"/>
          <w:szCs w:val="32"/>
        </w:rPr>
        <w:t>人数按照学校相关要求进行分配，具体人数如下：</w:t>
      </w:r>
    </w:p>
    <w:p w14:paraId="709371BA">
      <w:pPr>
        <w:keepNext w:val="0"/>
        <w:keepLines w:val="0"/>
        <w:pageBreakBefore w:val="0"/>
        <w:kinsoku/>
        <w:wordWrap/>
        <w:overflowPunct/>
        <w:topLinePunct w:val="0"/>
        <w:autoSpaceDE/>
        <w:autoSpaceDN/>
        <w:bidi w:val="0"/>
        <w:adjustRightInd w:val="0"/>
        <w:snapToGrid w:val="0"/>
        <w:spacing w:line="240" w:lineRule="auto"/>
        <w:rPr>
          <w:rFonts w:hint="eastAsia" w:ascii="仿宋_GB2312" w:hAnsi="宋体" w:eastAsia="仿宋_GB2312" w:cs="微软雅黑"/>
          <w:color w:val="auto"/>
          <w:sz w:val="32"/>
          <w:szCs w:val="32"/>
        </w:rPr>
      </w:pPr>
    </w:p>
    <w:tbl>
      <w:tblPr>
        <w:tblStyle w:val="6"/>
        <w:tblW w:w="82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22"/>
        <w:gridCol w:w="1425"/>
        <w:gridCol w:w="1400"/>
        <w:gridCol w:w="1475"/>
      </w:tblGrid>
      <w:tr w14:paraId="13FB7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99AF">
            <w:pPr>
              <w:keepNext w:val="0"/>
              <w:keepLines w:val="0"/>
              <w:widowControl/>
              <w:suppressLineNumbers w:val="0"/>
              <w:jc w:val="center"/>
              <w:textAlignment w:val="center"/>
              <w:rPr>
                <w:rFonts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班级专业</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4C92">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一等奖</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3BDF">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二等奖</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60CF">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三等奖</w:t>
            </w:r>
          </w:p>
        </w:tc>
      </w:tr>
      <w:tr w14:paraId="6107A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4FF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2024交通信息工程及控制</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698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90E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12</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0132">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23</w:t>
            </w:r>
          </w:p>
        </w:tc>
      </w:tr>
      <w:tr w14:paraId="02E4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72A2">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2024级载运工具运用工程</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DB0B">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516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2C42">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r>
      <w:tr w14:paraId="5906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EBD9">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2024级轮机工程</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42FE">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6BB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636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5</w:t>
            </w:r>
          </w:p>
        </w:tc>
      </w:tr>
      <w:tr w14:paraId="6C4F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A4F7">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2024级动力工程及工程热物理</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786A">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23E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6</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2D40">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11</w:t>
            </w:r>
          </w:p>
        </w:tc>
      </w:tr>
      <w:tr w14:paraId="091AE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BDE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2024级安全科学与工程</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6F8E">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15AE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7</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3499">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13</w:t>
            </w:r>
          </w:p>
        </w:tc>
      </w:tr>
      <w:tr w14:paraId="0ABF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E2AF">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2025级水路交通运输</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95E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3</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6FA0">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19</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096B">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34</w:t>
            </w:r>
          </w:p>
        </w:tc>
      </w:tr>
      <w:tr w14:paraId="30112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BA9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2025级人工智能</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40AA">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5596">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809B">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r>
      <w:tr w14:paraId="5CA67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3C2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2025级交通信息工程及控制</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687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AC22">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12</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C6B6">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23</w:t>
            </w:r>
          </w:p>
        </w:tc>
      </w:tr>
      <w:tr w14:paraId="37805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832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2025级载运工具运用工程</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5FB0">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BB9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EB0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r>
      <w:tr w14:paraId="0EEA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A97E">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2025级船舶工程</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65D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4</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1F0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24</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570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44</w:t>
            </w:r>
          </w:p>
        </w:tc>
      </w:tr>
      <w:tr w14:paraId="2FB5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975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2025级海洋工程</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2AB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62B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40A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r>
      <w:tr w14:paraId="62537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274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2025级轮机工程</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10DA">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A33A">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843E">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4</w:t>
            </w:r>
          </w:p>
        </w:tc>
      </w:tr>
      <w:tr w14:paraId="6B95C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D11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2025级动力工程</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D382">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3</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E5B6">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22</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CA29">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40</w:t>
            </w:r>
          </w:p>
        </w:tc>
      </w:tr>
      <w:tr w14:paraId="7BCF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BED4">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2025级清洁能源技术</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AF92">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A68F">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558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r>
      <w:tr w14:paraId="22AE9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2BF4">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2025级动力工程及工程热物理</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C43A">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836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9</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00CF">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17</w:t>
            </w:r>
          </w:p>
        </w:tc>
      </w:tr>
      <w:tr w14:paraId="6C705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696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2025级安全科学与工程</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804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A47F">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8</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743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14</w:t>
            </w:r>
          </w:p>
        </w:tc>
      </w:tr>
      <w:tr w14:paraId="161A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5739">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班级专业</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6105">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一等奖</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10B3">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二等奖</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1EF5">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u w:val="none"/>
              </w:rPr>
            </w:pPr>
            <w:r>
              <w:rPr>
                <w:rFonts w:hint="eastAsia" w:ascii="仿宋_GB2312" w:hAnsi="宋体" w:eastAsia="仿宋_GB2312" w:cs="仿宋_GB2312"/>
                <w:b/>
                <w:bCs/>
                <w:i w:val="0"/>
                <w:iCs w:val="0"/>
                <w:color w:val="auto"/>
                <w:kern w:val="0"/>
                <w:sz w:val="22"/>
                <w:szCs w:val="22"/>
                <w:u w:val="none"/>
                <w:lang w:val="en-US" w:eastAsia="zh-CN" w:bidi="ar"/>
              </w:rPr>
              <w:t>三等奖</w:t>
            </w:r>
          </w:p>
        </w:tc>
      </w:tr>
      <w:tr w14:paraId="6F56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B52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2026级水路交通运输</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2F1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32</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57E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32</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9B0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r w14:paraId="5E1FF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C95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2026级人工智能</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B394">
            <w:pPr>
              <w:jc w:val="center"/>
              <w:rPr>
                <w:rFonts w:hint="eastAsia" w:ascii="仿宋_GB2312" w:hAnsi="宋体" w:eastAsia="仿宋_GB2312" w:cs="仿宋_GB2312"/>
                <w:i w:val="0"/>
                <w:iCs w:val="0"/>
                <w:color w:val="auto"/>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937B">
            <w:pPr>
              <w:jc w:val="center"/>
              <w:rPr>
                <w:rFonts w:hint="eastAsia" w:ascii="仿宋_GB2312" w:hAnsi="宋体" w:eastAsia="仿宋_GB2312" w:cs="仿宋_GB2312"/>
                <w:i w:val="0"/>
                <w:iCs w:val="0"/>
                <w:color w:val="auto"/>
                <w:sz w:val="22"/>
                <w:szCs w:val="22"/>
                <w:u w:val="none"/>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8E5C">
            <w:pPr>
              <w:jc w:val="center"/>
              <w:rPr>
                <w:rFonts w:hint="eastAsia" w:ascii="仿宋_GB2312" w:hAnsi="宋体" w:eastAsia="仿宋_GB2312" w:cs="仿宋_GB2312"/>
                <w:i w:val="0"/>
                <w:iCs w:val="0"/>
                <w:color w:val="auto"/>
                <w:sz w:val="22"/>
                <w:szCs w:val="22"/>
                <w:u w:val="none"/>
              </w:rPr>
            </w:pPr>
          </w:p>
        </w:tc>
      </w:tr>
      <w:tr w14:paraId="020DD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DFE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2026级交通信息工程及控制</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36B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16</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E75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16</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DAF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r w14:paraId="33FA8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852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2026级载运工具运用工程</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7424">
            <w:pPr>
              <w:jc w:val="center"/>
              <w:rPr>
                <w:rFonts w:hint="eastAsia" w:ascii="仿宋_GB2312" w:hAnsi="宋体" w:eastAsia="仿宋_GB2312" w:cs="仿宋_GB2312"/>
                <w:i w:val="0"/>
                <w:iCs w:val="0"/>
                <w:color w:val="auto"/>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B681">
            <w:pPr>
              <w:jc w:val="center"/>
              <w:rPr>
                <w:rFonts w:hint="eastAsia" w:ascii="仿宋_GB2312" w:hAnsi="宋体" w:eastAsia="仿宋_GB2312" w:cs="仿宋_GB2312"/>
                <w:i w:val="0"/>
                <w:iCs w:val="0"/>
                <w:color w:val="auto"/>
                <w:sz w:val="22"/>
                <w:szCs w:val="22"/>
                <w:u w:val="none"/>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9B1F">
            <w:pPr>
              <w:jc w:val="center"/>
              <w:rPr>
                <w:rFonts w:hint="eastAsia" w:ascii="仿宋_GB2312" w:hAnsi="宋体" w:eastAsia="仿宋_GB2312" w:cs="仿宋_GB2312"/>
                <w:i w:val="0"/>
                <w:iCs w:val="0"/>
                <w:color w:val="auto"/>
                <w:sz w:val="22"/>
                <w:szCs w:val="22"/>
                <w:u w:val="none"/>
              </w:rPr>
            </w:pPr>
          </w:p>
        </w:tc>
      </w:tr>
      <w:tr w14:paraId="37F55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E30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2026级船舶工程</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763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49</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122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49</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261E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r w14:paraId="46AA5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D0D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2026级海洋工程</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97C1">
            <w:pPr>
              <w:jc w:val="center"/>
              <w:rPr>
                <w:rFonts w:hint="eastAsia" w:ascii="仿宋_GB2312" w:hAnsi="宋体" w:eastAsia="仿宋_GB2312" w:cs="仿宋_GB2312"/>
                <w:i w:val="0"/>
                <w:iCs w:val="0"/>
                <w:color w:val="auto"/>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2EAB">
            <w:pPr>
              <w:jc w:val="center"/>
              <w:rPr>
                <w:rFonts w:hint="eastAsia" w:ascii="仿宋_GB2312" w:hAnsi="宋体" w:eastAsia="仿宋_GB2312" w:cs="仿宋_GB2312"/>
                <w:i w:val="0"/>
                <w:iCs w:val="0"/>
                <w:color w:val="auto"/>
                <w:sz w:val="22"/>
                <w:szCs w:val="22"/>
                <w:u w:val="none"/>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D419">
            <w:pPr>
              <w:jc w:val="center"/>
              <w:rPr>
                <w:rFonts w:hint="eastAsia" w:ascii="仿宋_GB2312" w:hAnsi="宋体" w:eastAsia="仿宋_GB2312" w:cs="仿宋_GB2312"/>
                <w:i w:val="0"/>
                <w:iCs w:val="0"/>
                <w:color w:val="auto"/>
                <w:sz w:val="22"/>
                <w:szCs w:val="22"/>
                <w:u w:val="none"/>
              </w:rPr>
            </w:pPr>
          </w:p>
        </w:tc>
      </w:tr>
      <w:tr w14:paraId="2C08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532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2026级轮机工程</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E38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8FA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88E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r w14:paraId="26E2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ACE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2026级动力工程</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1DF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34</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DF3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34</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0DD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r w14:paraId="50C3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5F3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2026级清洁能源技术</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6079">
            <w:pPr>
              <w:jc w:val="center"/>
              <w:rPr>
                <w:rFonts w:hint="eastAsia" w:ascii="仿宋_GB2312" w:hAnsi="宋体" w:eastAsia="仿宋_GB2312" w:cs="仿宋_GB2312"/>
                <w:i w:val="0"/>
                <w:iCs w:val="0"/>
                <w:color w:val="auto"/>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2998">
            <w:pPr>
              <w:jc w:val="center"/>
              <w:rPr>
                <w:rFonts w:hint="eastAsia" w:ascii="仿宋_GB2312" w:hAnsi="宋体" w:eastAsia="仿宋_GB2312" w:cs="仿宋_GB2312"/>
                <w:i w:val="0"/>
                <w:iCs w:val="0"/>
                <w:color w:val="auto"/>
                <w:sz w:val="22"/>
                <w:szCs w:val="22"/>
                <w:u w:val="none"/>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686F">
            <w:pPr>
              <w:jc w:val="center"/>
              <w:rPr>
                <w:rFonts w:hint="eastAsia" w:ascii="仿宋_GB2312" w:hAnsi="宋体" w:eastAsia="仿宋_GB2312" w:cs="仿宋_GB2312"/>
                <w:i w:val="0"/>
                <w:iCs w:val="0"/>
                <w:color w:val="auto"/>
                <w:sz w:val="22"/>
                <w:szCs w:val="22"/>
                <w:u w:val="none"/>
              </w:rPr>
            </w:pPr>
          </w:p>
        </w:tc>
      </w:tr>
      <w:tr w14:paraId="7444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B37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2026级动力工程及工程热物理</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24B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E16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11</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877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r w14:paraId="28FFB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blHeader/>
        </w:trPr>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FEB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2026级安全科学与工程</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953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8DA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16</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0E3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w:t>
            </w:r>
          </w:p>
        </w:tc>
      </w:tr>
    </w:tbl>
    <w:p w14:paraId="74660453">
      <w:pPr>
        <w:keepNext w:val="0"/>
        <w:keepLines w:val="0"/>
        <w:pageBreakBefore w:val="0"/>
        <w:kinsoku/>
        <w:wordWrap/>
        <w:overflowPunct/>
        <w:topLinePunct w:val="0"/>
        <w:autoSpaceDE/>
        <w:autoSpaceDN/>
        <w:bidi w:val="0"/>
        <w:adjustRightInd w:val="0"/>
        <w:snapToGrid w:val="0"/>
        <w:spacing w:line="240" w:lineRule="auto"/>
        <w:rPr>
          <w:rFonts w:hint="eastAsia" w:ascii="仿宋_GB2312" w:hAnsi="宋体" w:eastAsia="仿宋_GB2312" w:cs="微软雅黑"/>
          <w:color w:val="auto"/>
          <w:sz w:val="32"/>
          <w:szCs w:val="32"/>
        </w:rPr>
      </w:pPr>
    </w:p>
    <w:p w14:paraId="73AB3971">
      <w:pPr>
        <w:keepNext w:val="0"/>
        <w:keepLines w:val="0"/>
        <w:pageBreakBefore w:val="0"/>
        <w:kinsoku/>
        <w:wordWrap/>
        <w:overflowPunct/>
        <w:topLinePunct w:val="0"/>
        <w:autoSpaceDE/>
        <w:autoSpaceDN/>
        <w:bidi w:val="0"/>
        <w:adjustRightInd w:val="0"/>
        <w:snapToGrid w:val="0"/>
        <w:spacing w:line="240" w:lineRule="auto"/>
        <w:rPr>
          <w:rFonts w:ascii="仿宋_GB2312" w:hAnsi="宋体" w:eastAsia="仿宋_GB2312" w:cs="微软雅黑"/>
          <w:color w:val="auto"/>
          <w:sz w:val="32"/>
          <w:szCs w:val="32"/>
        </w:rPr>
        <w:sectPr>
          <w:footerReference r:id="rId3" w:type="default"/>
          <w:pgSz w:w="11900" w:h="16840"/>
          <w:pgMar w:top="1440" w:right="1800" w:bottom="1440" w:left="1800" w:header="851" w:footer="992" w:gutter="0"/>
          <w:pgNumType w:fmt="numberInDash"/>
          <w:cols w:space="425" w:num="1"/>
          <w:docGrid w:type="lines" w:linePitch="312" w:charSpace="0"/>
        </w:sectPr>
      </w:pPr>
    </w:p>
    <w:p w14:paraId="38A387D1">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仿宋_GB2312" w:hAnsi="宋体" w:eastAsia="仿宋_GB2312" w:cs="微软雅黑"/>
          <w:sz w:val="32"/>
          <w:szCs w:val="32"/>
        </w:rPr>
      </w:pPr>
      <w:r>
        <w:rPr>
          <w:rFonts w:hint="eastAsia" w:ascii="仿宋_GB2312" w:hAnsi="宋体" w:eastAsia="仿宋_GB2312" w:cs="微软雅黑"/>
          <w:b/>
          <w:bCs/>
          <w:sz w:val="32"/>
          <w:szCs w:val="32"/>
        </w:rPr>
        <w:t>第六条</w:t>
      </w:r>
      <w:r>
        <w:rPr>
          <w:rFonts w:ascii="仿宋_GB2312" w:hAnsi="宋体" w:eastAsia="仿宋_GB2312" w:cs="微软雅黑"/>
          <w:sz w:val="32"/>
          <w:szCs w:val="32"/>
        </w:rPr>
        <w:tab/>
      </w:r>
      <w:r>
        <w:rPr>
          <w:rFonts w:ascii="仿宋_GB2312" w:hAnsi="宋体" w:eastAsia="仿宋_GB2312" w:cs="微软雅黑"/>
          <w:sz w:val="32"/>
          <w:szCs w:val="32"/>
        </w:rPr>
        <w:t xml:space="preserve"> </w:t>
      </w:r>
      <w:r>
        <w:rPr>
          <w:rFonts w:hint="eastAsia" w:ascii="仿宋_GB2312" w:hAnsi="宋体" w:eastAsia="仿宋_GB2312" w:cs="微软雅黑"/>
          <w:sz w:val="32"/>
          <w:szCs w:val="32"/>
        </w:rPr>
        <w:t>评定办法：</w:t>
      </w:r>
    </w:p>
    <w:p w14:paraId="38A387D2">
      <w:pPr>
        <w:keepNext w:val="0"/>
        <w:keepLines w:val="0"/>
        <w:pageBreakBefore w:val="0"/>
        <w:kinsoku/>
        <w:wordWrap/>
        <w:overflowPunct/>
        <w:topLinePunct w:val="0"/>
        <w:autoSpaceDE/>
        <w:autoSpaceDN/>
        <w:bidi w:val="0"/>
        <w:adjustRightInd w:val="0"/>
        <w:snapToGrid w:val="0"/>
        <w:spacing w:line="570" w:lineRule="exact"/>
        <w:ind w:left="360"/>
        <w:rPr>
          <w:rFonts w:ascii="仿宋_GB2312" w:hAnsi="宋体" w:eastAsia="仿宋_GB2312" w:cs="微软雅黑"/>
          <w:sz w:val="32"/>
          <w:szCs w:val="32"/>
        </w:rPr>
      </w:pPr>
      <w:r>
        <w:rPr>
          <w:rFonts w:hint="eastAsia" w:ascii="仿宋_GB2312" w:hAnsi="宋体" w:eastAsia="仿宋_GB2312"/>
          <w:color w:val="000000"/>
          <w:sz w:val="32"/>
          <w:szCs w:val="32"/>
          <w:shd w:val="clear" w:color="auto" w:fill="FFFFFF"/>
        </w:rPr>
        <w:t>（一）</w:t>
      </w:r>
      <w:r>
        <w:rPr>
          <w:rFonts w:hint="eastAsia" w:ascii="仿宋_GB2312" w:hAnsi="宋体" w:eastAsia="仿宋_GB2312" w:cs="微软雅黑"/>
          <w:sz w:val="32"/>
          <w:szCs w:val="32"/>
        </w:rPr>
        <w:t>202</w:t>
      </w:r>
      <w:r>
        <w:rPr>
          <w:rFonts w:hint="eastAsia" w:ascii="仿宋_GB2312" w:hAnsi="宋体" w:eastAsia="仿宋_GB2312" w:cs="微软雅黑"/>
          <w:sz w:val="32"/>
          <w:szCs w:val="32"/>
          <w:lang w:val="en-US" w:eastAsia="zh-CN"/>
        </w:rPr>
        <w:t>6</w:t>
      </w:r>
      <w:r>
        <w:rPr>
          <w:rFonts w:hint="eastAsia" w:ascii="仿宋_GB2312" w:hAnsi="宋体" w:eastAsia="仿宋_GB2312" w:cs="微软雅黑"/>
          <w:sz w:val="32"/>
          <w:szCs w:val="32"/>
        </w:rPr>
        <w:t>级硕士研究生新生参照以下评选办法：</w:t>
      </w:r>
    </w:p>
    <w:p w14:paraId="38A387D3">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bCs/>
          <w:kern w:val="0"/>
          <w:sz w:val="32"/>
          <w:szCs w:val="32"/>
        </w:rPr>
      </w:pPr>
      <w:r>
        <w:rPr>
          <w:rFonts w:hint="eastAsia" w:ascii="仿宋_GB2312" w:hAnsi="宋体" w:eastAsia="仿宋_GB2312"/>
          <w:bCs/>
          <w:kern w:val="0"/>
          <w:sz w:val="32"/>
          <w:szCs w:val="32"/>
        </w:rPr>
        <w:t>1</w:t>
      </w:r>
      <w:r>
        <w:rPr>
          <w:rFonts w:ascii="仿宋_GB2312" w:hAnsi="宋体" w:eastAsia="仿宋_GB2312"/>
          <w:bCs/>
          <w:kern w:val="0"/>
          <w:sz w:val="32"/>
          <w:szCs w:val="32"/>
        </w:rPr>
        <w:t>.</w:t>
      </w:r>
      <w:r>
        <w:rPr>
          <w:rFonts w:hint="eastAsia" w:ascii="仿宋_GB2312" w:hAnsi="宋体" w:eastAsia="仿宋_GB2312"/>
          <w:bCs/>
          <w:kern w:val="0"/>
          <w:sz w:val="32"/>
          <w:szCs w:val="32"/>
        </w:rPr>
        <w:t>硕士研究生新生学业奖学金的评定无需新生本人提出申请，由学院依据评选条件与年度评选名额直接评定；</w:t>
      </w:r>
    </w:p>
    <w:p w14:paraId="38A387D4">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bCs/>
          <w:kern w:val="0"/>
          <w:sz w:val="32"/>
          <w:szCs w:val="32"/>
        </w:rPr>
      </w:pPr>
      <w:r>
        <w:rPr>
          <w:rFonts w:hint="eastAsia" w:ascii="仿宋_GB2312" w:hAnsi="宋体" w:eastAsia="仿宋_GB2312"/>
          <w:bCs/>
          <w:kern w:val="0"/>
          <w:sz w:val="32"/>
          <w:szCs w:val="32"/>
        </w:rPr>
        <w:t>2</w:t>
      </w:r>
      <w:r>
        <w:rPr>
          <w:rFonts w:ascii="仿宋_GB2312" w:hAnsi="宋体" w:eastAsia="仿宋_GB2312"/>
          <w:bCs/>
          <w:kern w:val="0"/>
          <w:sz w:val="32"/>
          <w:szCs w:val="32"/>
        </w:rPr>
        <w:t>.</w:t>
      </w:r>
      <w:r>
        <w:rPr>
          <w:rFonts w:hint="eastAsia" w:ascii="仿宋_GB2312" w:hAnsi="宋体" w:eastAsia="仿宋_GB2312"/>
          <w:bCs/>
          <w:kern w:val="0"/>
          <w:sz w:val="32"/>
          <w:szCs w:val="32"/>
        </w:rPr>
        <w:t>推荐免试研究生原则上自动获得一等奖学金；</w:t>
      </w:r>
    </w:p>
    <w:p w14:paraId="38A387D5">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bCs/>
          <w:kern w:val="0"/>
          <w:sz w:val="32"/>
          <w:szCs w:val="32"/>
        </w:rPr>
      </w:pPr>
      <w:r>
        <w:rPr>
          <w:rFonts w:hint="eastAsia" w:ascii="仿宋_GB2312" w:hAnsi="宋体" w:eastAsia="仿宋_GB2312"/>
          <w:bCs/>
          <w:kern w:val="0"/>
          <w:sz w:val="32"/>
          <w:szCs w:val="32"/>
        </w:rPr>
        <w:t>3</w:t>
      </w:r>
      <w:r>
        <w:rPr>
          <w:rFonts w:ascii="仿宋_GB2312" w:hAnsi="宋体" w:eastAsia="仿宋_GB2312"/>
          <w:bCs/>
          <w:kern w:val="0"/>
          <w:sz w:val="32"/>
          <w:szCs w:val="32"/>
        </w:rPr>
        <w:t>.</w:t>
      </w:r>
      <w:r>
        <w:rPr>
          <w:rFonts w:hint="eastAsia" w:ascii="仿宋_GB2312" w:hAnsi="宋体" w:eastAsia="仿宋_GB2312"/>
          <w:bCs/>
          <w:kern w:val="0"/>
          <w:sz w:val="32"/>
          <w:szCs w:val="32"/>
        </w:rPr>
        <w:t>学院各学位点以硕士新生入学考试的总成绩（含初试与复试成绩，按总成绩由高到低排序）作为研究生新生学业奖学金评定的主要依据；</w:t>
      </w:r>
    </w:p>
    <w:p w14:paraId="38A387D6">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bCs/>
          <w:kern w:val="0"/>
          <w:sz w:val="32"/>
          <w:szCs w:val="32"/>
        </w:rPr>
      </w:pPr>
      <w:r>
        <w:rPr>
          <w:rFonts w:hint="eastAsia" w:ascii="仿宋_GB2312" w:hAnsi="宋体" w:eastAsia="仿宋_GB2312"/>
          <w:bCs/>
          <w:kern w:val="0"/>
          <w:sz w:val="32"/>
          <w:szCs w:val="32"/>
        </w:rPr>
        <w:t>4</w:t>
      </w:r>
      <w:r>
        <w:rPr>
          <w:rFonts w:ascii="仿宋_GB2312" w:hAnsi="宋体" w:eastAsia="仿宋_GB2312"/>
          <w:bCs/>
          <w:kern w:val="0"/>
          <w:sz w:val="32"/>
          <w:szCs w:val="32"/>
        </w:rPr>
        <w:t>.</w:t>
      </w:r>
      <w:r>
        <w:rPr>
          <w:rFonts w:hint="eastAsia" w:ascii="仿宋_GB2312" w:hAnsi="宋体" w:eastAsia="仿宋_GB2312"/>
          <w:bCs/>
          <w:kern w:val="0"/>
          <w:sz w:val="32"/>
          <w:szCs w:val="32"/>
        </w:rPr>
        <w:t>复试前第一志愿填报上海海事大学并被录取的研究生新生优先考虑(在总成绩的基础上乘以1.2的系数)；</w:t>
      </w:r>
    </w:p>
    <w:p w14:paraId="38A387D7">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bCs/>
          <w:kern w:val="0"/>
          <w:sz w:val="32"/>
          <w:szCs w:val="32"/>
        </w:rPr>
      </w:pPr>
      <w:r>
        <w:rPr>
          <w:rFonts w:hint="eastAsia" w:ascii="仿宋_GB2312" w:hAnsi="宋体" w:eastAsia="仿宋_GB2312"/>
          <w:bCs/>
          <w:kern w:val="0"/>
          <w:sz w:val="32"/>
          <w:szCs w:val="32"/>
        </w:rPr>
        <w:t>5</w:t>
      </w:r>
      <w:r>
        <w:rPr>
          <w:rFonts w:ascii="仿宋_GB2312" w:hAnsi="宋体" w:eastAsia="仿宋_GB2312"/>
          <w:bCs/>
          <w:kern w:val="0"/>
          <w:sz w:val="32"/>
          <w:szCs w:val="32"/>
        </w:rPr>
        <w:t>.</w:t>
      </w:r>
      <w:r>
        <w:rPr>
          <w:rFonts w:hint="eastAsia" w:ascii="仿宋_GB2312" w:hAnsi="宋体" w:eastAsia="仿宋_GB2312"/>
          <w:bCs/>
          <w:kern w:val="0"/>
          <w:sz w:val="32"/>
          <w:szCs w:val="32"/>
        </w:rPr>
        <w:t>本科院校为原“985”高校（非独立学院），在总成绩的基础上乘以1.2的系数，为原“211”高校（非独立学院），在总成绩的基础上乘以1.1的系数；</w:t>
      </w:r>
    </w:p>
    <w:p w14:paraId="38A387D8">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bCs/>
          <w:kern w:val="0"/>
          <w:sz w:val="32"/>
          <w:szCs w:val="32"/>
        </w:rPr>
      </w:pPr>
      <w:r>
        <w:rPr>
          <w:rFonts w:hint="eastAsia" w:ascii="仿宋_GB2312" w:hAnsi="宋体" w:eastAsia="仿宋_GB2312"/>
          <w:bCs/>
          <w:kern w:val="0"/>
          <w:sz w:val="32"/>
          <w:szCs w:val="32"/>
        </w:rPr>
        <w:t>6</w:t>
      </w:r>
      <w:r>
        <w:rPr>
          <w:rFonts w:ascii="仿宋_GB2312" w:hAnsi="宋体" w:eastAsia="仿宋_GB2312"/>
          <w:bCs/>
          <w:kern w:val="0"/>
          <w:sz w:val="32"/>
          <w:szCs w:val="32"/>
        </w:rPr>
        <w:t>.</w:t>
      </w:r>
      <w:r>
        <w:rPr>
          <w:rFonts w:hint="eastAsia" w:ascii="仿宋_GB2312" w:hAnsi="宋体" w:eastAsia="仿宋_GB2312"/>
          <w:bCs/>
          <w:kern w:val="0"/>
          <w:sz w:val="32"/>
          <w:szCs w:val="32"/>
        </w:rPr>
        <w:t>如在本科期间有重大研究成果、科研能力突出的学生可优先或重点考虑，具体计分方法参考学校最新版本的研究生学位授予成果；</w:t>
      </w:r>
    </w:p>
    <w:p w14:paraId="38A387D9">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bCs/>
          <w:kern w:val="0"/>
          <w:sz w:val="32"/>
          <w:szCs w:val="32"/>
        </w:rPr>
      </w:pPr>
      <w:r>
        <w:rPr>
          <w:rFonts w:hint="eastAsia" w:ascii="仿宋_GB2312" w:hAnsi="宋体" w:eastAsia="仿宋_GB2312"/>
          <w:bCs/>
          <w:kern w:val="0"/>
          <w:sz w:val="32"/>
          <w:szCs w:val="32"/>
        </w:rPr>
        <w:t>7</w:t>
      </w:r>
      <w:r>
        <w:rPr>
          <w:rFonts w:ascii="仿宋_GB2312" w:hAnsi="宋体" w:eastAsia="仿宋_GB2312"/>
          <w:bCs/>
          <w:kern w:val="0"/>
          <w:sz w:val="32"/>
          <w:szCs w:val="32"/>
        </w:rPr>
        <w:t>.</w:t>
      </w:r>
      <w:r>
        <w:rPr>
          <w:rFonts w:hint="eastAsia" w:ascii="仿宋_GB2312" w:hAnsi="宋体" w:eastAsia="仿宋_GB2312"/>
          <w:bCs/>
          <w:kern w:val="0"/>
          <w:sz w:val="32"/>
          <w:szCs w:val="32"/>
        </w:rPr>
        <w:t>如果最终的总成绩相同者，评定按初试成绩择优评定。</w:t>
      </w:r>
    </w:p>
    <w:p w14:paraId="38A387DA">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kern w:val="0"/>
          <w:sz w:val="24"/>
        </w:rPr>
      </w:pPr>
      <w:r>
        <w:rPr>
          <w:rFonts w:hint="eastAsia" w:ascii="仿宋_GB2312" w:hAnsi="宋体" w:eastAsia="仿宋_GB2312" w:cs="宋体"/>
          <w:color w:val="000000"/>
          <w:kern w:val="0"/>
          <w:sz w:val="32"/>
          <w:szCs w:val="32"/>
          <w:shd w:val="clear" w:color="auto" w:fill="FFFFFF"/>
        </w:rPr>
        <w:t>（二）</w:t>
      </w:r>
      <w:r>
        <w:rPr>
          <w:rFonts w:hint="eastAsia" w:ascii="仿宋_GB2312" w:hAnsi="宋体" w:eastAsia="仿宋_GB2312" w:cs="微软雅黑"/>
          <w:kern w:val="0"/>
          <w:sz w:val="32"/>
          <w:szCs w:val="32"/>
        </w:rPr>
        <w:t>202</w:t>
      </w:r>
      <w:r>
        <w:rPr>
          <w:rFonts w:hint="eastAsia" w:ascii="仿宋_GB2312" w:hAnsi="宋体" w:eastAsia="仿宋_GB2312" w:cs="微软雅黑"/>
          <w:kern w:val="0"/>
          <w:sz w:val="32"/>
          <w:szCs w:val="32"/>
          <w:lang w:val="en-US" w:eastAsia="zh-CN"/>
        </w:rPr>
        <w:t>4</w:t>
      </w:r>
      <w:r>
        <w:rPr>
          <w:rFonts w:hint="eastAsia" w:ascii="仿宋_GB2312" w:hAnsi="宋体" w:eastAsia="仿宋_GB2312" w:cs="微软雅黑"/>
          <w:kern w:val="0"/>
          <w:sz w:val="32"/>
          <w:szCs w:val="32"/>
        </w:rPr>
        <w:t>级、202</w:t>
      </w:r>
      <w:r>
        <w:rPr>
          <w:rFonts w:hint="eastAsia" w:ascii="仿宋_GB2312" w:hAnsi="宋体" w:eastAsia="仿宋_GB2312" w:cs="微软雅黑"/>
          <w:kern w:val="0"/>
          <w:sz w:val="32"/>
          <w:szCs w:val="32"/>
          <w:lang w:val="en-US" w:eastAsia="zh-CN"/>
        </w:rPr>
        <w:t>5</w:t>
      </w:r>
      <w:r>
        <w:rPr>
          <w:rFonts w:hint="eastAsia" w:ascii="仿宋_GB2312" w:hAnsi="宋体" w:eastAsia="仿宋_GB2312" w:cs="微软雅黑"/>
          <w:kern w:val="0"/>
          <w:sz w:val="32"/>
          <w:szCs w:val="32"/>
        </w:rPr>
        <w:t>级硕士研究生参照以下评选标准进行打分：</w:t>
      </w:r>
    </w:p>
    <w:p w14:paraId="38A387DB">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kern w:val="0"/>
          <w:sz w:val="32"/>
          <w:szCs w:val="32"/>
        </w:rPr>
      </w:pPr>
      <w:r>
        <w:rPr>
          <w:rFonts w:hint="eastAsia" w:ascii="仿宋_GB2312" w:hAnsi="宋体" w:eastAsia="仿宋_GB2312" w:cs="微软雅黑"/>
          <w:kern w:val="0"/>
          <w:sz w:val="32"/>
          <w:szCs w:val="32"/>
        </w:rPr>
        <w:t>1</w:t>
      </w:r>
      <w:r>
        <w:rPr>
          <w:rFonts w:ascii="仿宋_GB2312" w:hAnsi="宋体" w:eastAsia="仿宋_GB2312" w:cs="微软雅黑"/>
          <w:kern w:val="0"/>
          <w:sz w:val="32"/>
          <w:szCs w:val="32"/>
        </w:rPr>
        <w:t>.</w:t>
      </w:r>
      <w:r>
        <w:rPr>
          <w:rFonts w:hint="eastAsia" w:ascii="仿宋_GB2312" w:hAnsi="宋体" w:eastAsia="仿宋_GB2312" w:cs="微软雅黑"/>
          <w:kern w:val="0"/>
          <w:sz w:val="32"/>
          <w:szCs w:val="32"/>
        </w:rPr>
        <w:t>思想道德（5分）</w:t>
      </w:r>
    </w:p>
    <w:p w14:paraId="38A387DC">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sz w:val="32"/>
          <w:szCs w:val="32"/>
        </w:rPr>
      </w:pPr>
      <w:r>
        <w:rPr>
          <w:rFonts w:hint="eastAsia" w:ascii="仿宋_GB2312" w:hAnsi="宋体" w:eastAsia="仿宋_GB2312" w:cs="微软雅黑"/>
          <w:sz w:val="32"/>
          <w:szCs w:val="32"/>
        </w:rPr>
        <w:t>评分标准详见商船〔2022〕17号《商船学院研究生德育与时间测评评分办法》。</w:t>
      </w:r>
    </w:p>
    <w:p w14:paraId="38A387DD">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color w:val="auto"/>
          <w:kern w:val="0"/>
          <w:sz w:val="32"/>
          <w:szCs w:val="32"/>
        </w:rPr>
      </w:pPr>
      <w:r>
        <w:rPr>
          <w:rFonts w:hint="eastAsia" w:ascii="仿宋_GB2312" w:hAnsi="宋体" w:eastAsia="仿宋_GB2312" w:cs="微软雅黑"/>
          <w:kern w:val="0"/>
          <w:sz w:val="32"/>
          <w:szCs w:val="32"/>
        </w:rPr>
        <w:t>2</w:t>
      </w:r>
      <w:r>
        <w:rPr>
          <w:rFonts w:ascii="仿宋_GB2312" w:hAnsi="宋体" w:eastAsia="仿宋_GB2312" w:cs="微软雅黑"/>
          <w:color w:val="auto"/>
          <w:kern w:val="0"/>
          <w:sz w:val="32"/>
          <w:szCs w:val="32"/>
        </w:rPr>
        <w:t>.</w:t>
      </w:r>
      <w:r>
        <w:rPr>
          <w:rFonts w:hint="eastAsia" w:ascii="仿宋_GB2312" w:hAnsi="宋体" w:eastAsia="仿宋_GB2312" w:cs="微软雅黑"/>
          <w:color w:val="auto"/>
          <w:kern w:val="0"/>
          <w:sz w:val="32"/>
          <w:szCs w:val="32"/>
        </w:rPr>
        <w:t>学习成绩</w:t>
      </w:r>
    </w:p>
    <w:p w14:paraId="38A387DE">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color w:val="auto"/>
          <w:kern w:val="0"/>
          <w:sz w:val="32"/>
          <w:szCs w:val="32"/>
        </w:rPr>
      </w:pPr>
      <w:r>
        <w:rPr>
          <w:rFonts w:hint="eastAsia" w:ascii="仿宋_GB2312" w:hAnsi="宋体" w:eastAsia="仿宋_GB2312" w:cs="微软雅黑"/>
          <w:color w:val="auto"/>
          <w:sz w:val="32"/>
          <w:szCs w:val="32"/>
        </w:rPr>
        <w:t>参考上一学年学习成绩等级。</w:t>
      </w:r>
    </w:p>
    <w:p w14:paraId="38A387DF">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rPr>
          <w:rFonts w:ascii="仿宋_GB2312" w:hAnsi="宋体" w:eastAsia="仿宋_GB2312" w:cs="微软雅黑"/>
          <w:color w:val="auto"/>
          <w:kern w:val="0"/>
          <w:sz w:val="32"/>
          <w:szCs w:val="32"/>
        </w:rPr>
      </w:pPr>
      <w:r>
        <w:rPr>
          <w:rFonts w:hint="eastAsia" w:ascii="仿宋_GB2312" w:hAnsi="宋体" w:eastAsia="仿宋_GB2312" w:cs="微软雅黑"/>
          <w:color w:val="auto"/>
          <w:kern w:val="0"/>
          <w:sz w:val="32"/>
          <w:szCs w:val="32"/>
        </w:rPr>
        <w:t>3</w:t>
      </w:r>
      <w:r>
        <w:rPr>
          <w:rFonts w:ascii="仿宋_GB2312" w:hAnsi="宋体" w:eastAsia="仿宋_GB2312" w:cs="微软雅黑"/>
          <w:color w:val="auto"/>
          <w:kern w:val="0"/>
          <w:sz w:val="32"/>
          <w:szCs w:val="32"/>
        </w:rPr>
        <w:t>.</w:t>
      </w:r>
      <w:r>
        <w:rPr>
          <w:rFonts w:hint="eastAsia" w:ascii="仿宋_GB2312" w:hAnsi="宋体" w:eastAsia="仿宋_GB2312" w:cs="微软雅黑"/>
          <w:color w:val="auto"/>
          <w:kern w:val="0"/>
          <w:sz w:val="32"/>
          <w:szCs w:val="32"/>
        </w:rPr>
        <w:t>科研成果</w:t>
      </w:r>
    </w:p>
    <w:p w14:paraId="38A387E0">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color w:val="auto"/>
          <w:sz w:val="32"/>
          <w:szCs w:val="32"/>
          <w:highlight w:val="none"/>
        </w:rPr>
      </w:pPr>
      <w:r>
        <w:rPr>
          <w:rFonts w:hint="eastAsia" w:ascii="仿宋_GB2312" w:hAnsi="宋体" w:eastAsia="仿宋_GB2312" w:cs="微软雅黑"/>
          <w:color w:val="auto"/>
          <w:sz w:val="32"/>
          <w:szCs w:val="32"/>
        </w:rPr>
        <w:t>研究生申请者的</w:t>
      </w:r>
      <w:r>
        <w:rPr>
          <w:rFonts w:ascii="仿宋_GB2312" w:hAnsi="宋体" w:eastAsia="仿宋_GB2312" w:cs="微软雅黑"/>
          <w:color w:val="auto"/>
          <w:sz w:val="32"/>
          <w:szCs w:val="32"/>
        </w:rPr>
        <w:t>科研成果部分的自评和测评依据研究生入学年级所对应的当年度生效的《上海海事大学研究生学位授予成果要求》进行评定。</w:t>
      </w:r>
      <w:r>
        <w:rPr>
          <w:rFonts w:hint="eastAsia" w:ascii="仿宋_GB2312" w:hAnsi="宋体" w:eastAsia="仿宋_GB2312" w:cs="微软雅黑"/>
          <w:color w:val="auto"/>
          <w:sz w:val="32"/>
          <w:szCs w:val="32"/>
        </w:rPr>
        <w:t>硕士研究生在中国研究生创新实践系列大赛获奖，建议学院在评定时参照《上海海事大学研究生学位授予成果要求》标准翻倍计分。对专业型硕士研究生参加国际交流和产教融合项目的，</w:t>
      </w:r>
      <w:r>
        <w:rPr>
          <w:rFonts w:hint="eastAsia" w:ascii="仿宋_GB2312" w:hAnsi="宋体" w:eastAsia="仿宋_GB2312" w:cs="微软雅黑"/>
          <w:color w:val="auto"/>
          <w:sz w:val="32"/>
          <w:szCs w:val="32"/>
          <w:highlight w:val="none"/>
        </w:rPr>
        <w:t>根据实际情况，适当增加分值。 </w:t>
      </w:r>
    </w:p>
    <w:p w14:paraId="38A387E1">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仿宋_GB2312" w:hAnsi="宋体" w:eastAsia="仿宋_GB2312" w:cs="微软雅黑"/>
          <w:color w:val="auto"/>
          <w:sz w:val="32"/>
          <w:szCs w:val="32"/>
        </w:rPr>
      </w:pPr>
      <w:r>
        <w:rPr>
          <w:rFonts w:hint="eastAsia" w:ascii="仿宋_GB2312" w:hAnsi="宋体" w:eastAsia="仿宋_GB2312" w:cs="微软雅黑"/>
          <w:b/>
          <w:bCs/>
          <w:color w:val="auto"/>
          <w:sz w:val="32"/>
          <w:szCs w:val="32"/>
        </w:rPr>
        <w:t>第七条</w:t>
      </w:r>
      <w:r>
        <w:rPr>
          <w:rFonts w:ascii="仿宋_GB2312" w:hAnsi="宋体" w:eastAsia="仿宋_GB2312" w:cs="微软雅黑"/>
          <w:color w:val="auto"/>
          <w:sz w:val="32"/>
          <w:szCs w:val="32"/>
        </w:rPr>
        <w:tab/>
      </w:r>
      <w:r>
        <w:rPr>
          <w:rFonts w:ascii="仿宋_GB2312" w:hAnsi="宋体" w:eastAsia="仿宋_GB2312" w:cs="微软雅黑"/>
          <w:color w:val="auto"/>
          <w:sz w:val="32"/>
          <w:szCs w:val="32"/>
        </w:rPr>
        <w:t xml:space="preserve"> </w:t>
      </w:r>
      <w:r>
        <w:rPr>
          <w:rFonts w:hint="eastAsia" w:ascii="仿宋_GB2312" w:hAnsi="宋体" w:eastAsia="仿宋_GB2312" w:cs="微软雅黑"/>
          <w:color w:val="auto"/>
          <w:sz w:val="32"/>
          <w:szCs w:val="32"/>
        </w:rPr>
        <w:t>研究生学业奖学金评定时间与评定程序：</w:t>
      </w:r>
    </w:p>
    <w:p w14:paraId="38A387E2">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color w:val="auto"/>
          <w:sz w:val="32"/>
          <w:szCs w:val="32"/>
        </w:rPr>
      </w:pPr>
      <w:r>
        <w:rPr>
          <w:rFonts w:ascii="仿宋_GB2312" w:hAnsi="宋体" w:eastAsia="仿宋_GB2312" w:cs="微软雅黑"/>
          <w:color w:val="auto"/>
          <w:sz w:val="32"/>
          <w:szCs w:val="32"/>
        </w:rPr>
        <w:t>1.</w:t>
      </w:r>
      <w:r>
        <w:rPr>
          <w:rFonts w:hint="eastAsia" w:ascii="仿宋_GB2312" w:hAnsi="宋体" w:eastAsia="仿宋_GB2312" w:cs="微软雅黑"/>
          <w:color w:val="auto"/>
          <w:sz w:val="32"/>
          <w:szCs w:val="32"/>
        </w:rPr>
        <w:t>研究生学业奖学金的评定工作坚持“公平、公正、公开”原则。</w:t>
      </w:r>
    </w:p>
    <w:p w14:paraId="38A387E3">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sz w:val="32"/>
          <w:szCs w:val="32"/>
        </w:rPr>
      </w:pPr>
      <w:r>
        <w:rPr>
          <w:rFonts w:hint="eastAsia" w:ascii="仿宋_GB2312" w:hAnsi="宋体" w:eastAsia="仿宋_GB2312" w:cs="微软雅黑"/>
          <w:sz w:val="32"/>
          <w:szCs w:val="32"/>
        </w:rPr>
        <w:t>2</w:t>
      </w:r>
      <w:r>
        <w:rPr>
          <w:rFonts w:ascii="仿宋_GB2312" w:hAnsi="宋体" w:eastAsia="仿宋_GB2312" w:cs="微软雅黑"/>
          <w:sz w:val="32"/>
          <w:szCs w:val="32"/>
        </w:rPr>
        <w:t>.</w:t>
      </w:r>
      <w:r>
        <w:rPr>
          <w:rFonts w:hint="eastAsia" w:ascii="仿宋_GB2312" w:hAnsi="宋体" w:eastAsia="仿宋_GB2312" w:cs="微软雅黑"/>
          <w:sz w:val="32"/>
          <w:szCs w:val="32"/>
        </w:rPr>
        <w:t>学院成立研究生评奖评优工作领导小组，具体负责本学院研究生学业奖学金评定工作。</w:t>
      </w:r>
    </w:p>
    <w:p w14:paraId="38A387E4">
      <w:pPr>
        <w:keepNext w:val="0"/>
        <w:keepLines w:val="0"/>
        <w:pageBreakBefore w:val="0"/>
        <w:kinsoku/>
        <w:wordWrap/>
        <w:overflowPunct/>
        <w:topLinePunct w:val="0"/>
        <w:autoSpaceDE/>
        <w:autoSpaceDN/>
        <w:bidi w:val="0"/>
        <w:adjustRightInd w:val="0"/>
        <w:snapToGrid w:val="0"/>
        <w:spacing w:line="570" w:lineRule="exact"/>
        <w:ind w:firstLine="640" w:firstLineChars="200"/>
        <w:rPr>
          <w:rFonts w:ascii="仿宋_GB2312" w:hAnsi="宋体" w:eastAsia="仿宋_GB2312" w:cs="微软雅黑"/>
          <w:sz w:val="32"/>
          <w:szCs w:val="32"/>
        </w:rPr>
      </w:pPr>
      <w:r>
        <w:rPr>
          <w:rFonts w:hint="eastAsia" w:ascii="仿宋_GB2312" w:hAnsi="宋体" w:eastAsia="仿宋_GB2312" w:cs="微软雅黑"/>
          <w:sz w:val="32"/>
          <w:szCs w:val="32"/>
        </w:rPr>
        <w:t>3</w:t>
      </w:r>
      <w:r>
        <w:rPr>
          <w:rFonts w:ascii="仿宋_GB2312" w:hAnsi="宋体" w:eastAsia="仿宋_GB2312" w:cs="微软雅黑"/>
          <w:sz w:val="32"/>
          <w:szCs w:val="32"/>
        </w:rPr>
        <w:t>.</w:t>
      </w:r>
      <w:r>
        <w:rPr>
          <w:rFonts w:hint="eastAsia" w:ascii="仿宋_GB2312" w:hAnsi="宋体" w:eastAsia="仿宋_GB2312" w:cs="微软雅黑"/>
          <w:sz w:val="32"/>
          <w:szCs w:val="32"/>
        </w:rPr>
        <w:t>评审时间安排如下：</w:t>
      </w:r>
    </w:p>
    <w:p w14:paraId="38A387E5">
      <w:pPr>
        <w:keepNext w:val="0"/>
        <w:keepLines w:val="0"/>
        <w:pageBreakBefore w:val="0"/>
        <w:kinsoku/>
        <w:wordWrap/>
        <w:overflowPunct/>
        <w:topLinePunct w:val="0"/>
        <w:autoSpaceDE/>
        <w:autoSpaceDN/>
        <w:bidi w:val="0"/>
        <w:adjustRightInd w:val="0"/>
        <w:snapToGrid w:val="0"/>
        <w:spacing w:line="570" w:lineRule="exact"/>
        <w:ind w:firstLine="652" w:firstLineChars="200"/>
        <w:rPr>
          <w:rFonts w:ascii="仿宋_GB2312" w:hAnsi="宋体" w:eastAsia="仿宋_GB2312" w:cs="宋体"/>
          <w:spacing w:val="3"/>
          <w:sz w:val="32"/>
          <w:szCs w:val="32"/>
        </w:rPr>
      </w:pPr>
      <w:r>
        <w:rPr>
          <w:rFonts w:hint="eastAsia" w:ascii="仿宋_GB2312" w:hAnsi="宋体" w:eastAsia="仿宋_GB2312" w:cs="宋体"/>
          <w:spacing w:val="3"/>
          <w:sz w:val="32"/>
          <w:szCs w:val="32"/>
        </w:rPr>
        <w:t>202</w:t>
      </w:r>
      <w:r>
        <w:rPr>
          <w:rFonts w:hint="eastAsia" w:ascii="仿宋_GB2312" w:hAnsi="宋体" w:eastAsia="仿宋_GB2312" w:cs="宋体"/>
          <w:spacing w:val="3"/>
          <w:sz w:val="32"/>
          <w:szCs w:val="32"/>
          <w:lang w:val="en-US" w:eastAsia="zh-CN"/>
        </w:rPr>
        <w:t>6</w:t>
      </w:r>
      <w:r>
        <w:rPr>
          <w:rFonts w:hint="eastAsia" w:ascii="仿宋_GB2312" w:hAnsi="宋体" w:eastAsia="仿宋_GB2312" w:cs="宋体"/>
          <w:spacing w:val="3"/>
          <w:sz w:val="32"/>
          <w:szCs w:val="32"/>
        </w:rPr>
        <w:t>年9月1</w:t>
      </w:r>
      <w:r>
        <w:rPr>
          <w:rFonts w:hint="eastAsia" w:ascii="仿宋_GB2312" w:hAnsi="宋体" w:eastAsia="仿宋_GB2312" w:cs="宋体"/>
          <w:spacing w:val="3"/>
          <w:sz w:val="32"/>
          <w:szCs w:val="32"/>
          <w:lang w:val="en-US" w:eastAsia="zh-CN"/>
        </w:rPr>
        <w:t>6</w:t>
      </w:r>
      <w:r>
        <w:rPr>
          <w:rFonts w:hint="eastAsia" w:ascii="仿宋_GB2312" w:hAnsi="宋体" w:eastAsia="仿宋_GB2312" w:cs="宋体"/>
          <w:spacing w:val="3"/>
          <w:sz w:val="32"/>
          <w:szCs w:val="32"/>
        </w:rPr>
        <w:t>日前，确定学院研究生评奖评优工作领导小组成员名单，制定实施细则、工作程序等，完成公开公示实施细则；</w:t>
      </w:r>
    </w:p>
    <w:p w14:paraId="060B1D74">
      <w:pPr>
        <w:spacing w:line="570" w:lineRule="exact"/>
        <w:ind w:firstLine="652" w:firstLineChars="200"/>
        <w:rPr>
          <w:rFonts w:hint="eastAsia" w:ascii="仿宋_GB2312" w:hAnsi="宋体" w:eastAsia="仿宋_GB2312" w:cs="宋体"/>
          <w:spacing w:val="3"/>
          <w:sz w:val="32"/>
          <w:szCs w:val="32"/>
        </w:rPr>
      </w:pPr>
      <w:r>
        <w:rPr>
          <w:rFonts w:hint="eastAsia" w:ascii="仿宋_GB2312" w:hAnsi="宋体" w:eastAsia="仿宋_GB2312" w:cs="宋体"/>
          <w:spacing w:val="3"/>
          <w:sz w:val="32"/>
          <w:szCs w:val="32"/>
          <w:lang w:eastAsia="zh-CN"/>
        </w:rPr>
        <w:t>2026</w:t>
      </w:r>
      <w:r>
        <w:rPr>
          <w:rFonts w:hint="eastAsia" w:ascii="仿宋_GB2312" w:hAnsi="宋体" w:eastAsia="仿宋_GB2312" w:cs="宋体"/>
          <w:spacing w:val="3"/>
          <w:sz w:val="32"/>
          <w:szCs w:val="32"/>
        </w:rPr>
        <w:t>年9月</w:t>
      </w:r>
      <w:r>
        <w:rPr>
          <w:rFonts w:hint="eastAsia" w:ascii="仿宋_GB2312" w:hAnsi="宋体" w:eastAsia="仿宋_GB2312" w:cs="宋体"/>
          <w:spacing w:val="3"/>
          <w:sz w:val="32"/>
          <w:szCs w:val="32"/>
          <w:lang w:val="en-US" w:eastAsia="zh-CN"/>
        </w:rPr>
        <w:t>17-</w:t>
      </w:r>
      <w:r>
        <w:rPr>
          <w:rFonts w:hint="eastAsia" w:ascii="仿宋_GB2312" w:hAnsi="宋体" w:eastAsia="仿宋_GB2312" w:cs="宋体"/>
          <w:spacing w:val="3"/>
          <w:sz w:val="32"/>
          <w:szCs w:val="32"/>
        </w:rPr>
        <w:t>2</w:t>
      </w:r>
      <w:r>
        <w:rPr>
          <w:rFonts w:hint="eastAsia" w:ascii="仿宋_GB2312" w:hAnsi="宋体" w:eastAsia="仿宋_GB2312" w:cs="宋体"/>
          <w:spacing w:val="3"/>
          <w:sz w:val="32"/>
          <w:szCs w:val="32"/>
          <w:lang w:val="en-US" w:eastAsia="zh-CN"/>
        </w:rPr>
        <w:t>0</w:t>
      </w:r>
      <w:r>
        <w:rPr>
          <w:rFonts w:hint="eastAsia" w:ascii="仿宋_GB2312" w:hAnsi="宋体" w:eastAsia="仿宋_GB2312" w:cs="宋体"/>
          <w:spacing w:val="3"/>
          <w:sz w:val="32"/>
          <w:szCs w:val="32"/>
        </w:rPr>
        <w:t>日，研究生完成提交相关申请材料；</w:t>
      </w:r>
    </w:p>
    <w:p w14:paraId="060B1D75">
      <w:pPr>
        <w:spacing w:line="570" w:lineRule="exact"/>
        <w:ind w:firstLine="652" w:firstLineChars="200"/>
        <w:rPr>
          <w:rFonts w:hint="eastAsia" w:ascii="仿宋_GB2312" w:hAnsi="宋体" w:eastAsia="仿宋_GB2312" w:cs="宋体"/>
          <w:spacing w:val="3"/>
          <w:sz w:val="32"/>
          <w:szCs w:val="32"/>
        </w:rPr>
      </w:pPr>
      <w:r>
        <w:rPr>
          <w:rFonts w:hint="eastAsia" w:ascii="仿宋_GB2312" w:hAnsi="宋体" w:eastAsia="仿宋_GB2312" w:cs="宋体"/>
          <w:spacing w:val="3"/>
          <w:sz w:val="32"/>
          <w:szCs w:val="32"/>
          <w:lang w:eastAsia="zh-CN"/>
        </w:rPr>
        <w:t>2026</w:t>
      </w:r>
      <w:r>
        <w:rPr>
          <w:rFonts w:hint="eastAsia" w:ascii="仿宋_GB2312" w:hAnsi="宋体" w:eastAsia="仿宋_GB2312" w:cs="宋体"/>
          <w:spacing w:val="3"/>
          <w:sz w:val="32"/>
          <w:szCs w:val="32"/>
        </w:rPr>
        <w:t>年9月2</w:t>
      </w:r>
      <w:r>
        <w:rPr>
          <w:rFonts w:hint="eastAsia" w:ascii="仿宋_GB2312" w:hAnsi="宋体" w:eastAsia="仿宋_GB2312" w:cs="宋体"/>
          <w:spacing w:val="3"/>
          <w:sz w:val="32"/>
          <w:szCs w:val="32"/>
          <w:lang w:val="en-US" w:eastAsia="zh-CN"/>
        </w:rPr>
        <w:t>1</w:t>
      </w:r>
      <w:r>
        <w:rPr>
          <w:rFonts w:hint="eastAsia" w:ascii="仿宋_GB2312" w:hAnsi="宋体" w:eastAsia="仿宋_GB2312" w:cs="宋体"/>
          <w:spacing w:val="3"/>
          <w:sz w:val="32"/>
          <w:szCs w:val="32"/>
        </w:rPr>
        <w:t>-25日，完成研究生的申请材料审核工作；</w:t>
      </w:r>
    </w:p>
    <w:p w14:paraId="060B1D76">
      <w:pPr>
        <w:spacing w:line="570" w:lineRule="exact"/>
        <w:ind w:firstLine="652" w:firstLineChars="200"/>
        <w:rPr>
          <w:rFonts w:hint="eastAsia" w:ascii="仿宋_GB2312" w:hAnsi="宋体" w:eastAsia="仿宋_GB2312" w:cs="宋体"/>
          <w:spacing w:val="3"/>
          <w:sz w:val="32"/>
          <w:szCs w:val="32"/>
        </w:rPr>
      </w:pPr>
      <w:r>
        <w:rPr>
          <w:rFonts w:hint="eastAsia" w:ascii="仿宋_GB2312" w:hAnsi="宋体" w:eastAsia="仿宋_GB2312" w:cs="宋体"/>
          <w:spacing w:val="3"/>
          <w:sz w:val="32"/>
          <w:szCs w:val="32"/>
          <w:lang w:eastAsia="zh-CN"/>
        </w:rPr>
        <w:t>2026</w:t>
      </w:r>
      <w:r>
        <w:rPr>
          <w:rFonts w:hint="eastAsia" w:ascii="仿宋_GB2312" w:hAnsi="宋体" w:eastAsia="仿宋_GB2312" w:cs="宋体"/>
          <w:spacing w:val="3"/>
          <w:sz w:val="32"/>
          <w:szCs w:val="32"/>
        </w:rPr>
        <w:t>年9月26-</w:t>
      </w:r>
      <w:r>
        <w:rPr>
          <w:rFonts w:hint="eastAsia" w:ascii="仿宋_GB2312" w:hAnsi="宋体" w:eastAsia="仿宋_GB2312" w:cs="宋体"/>
          <w:color w:val="auto"/>
          <w:spacing w:val="3"/>
          <w:sz w:val="32"/>
          <w:szCs w:val="32"/>
        </w:rPr>
        <w:t>2</w:t>
      </w:r>
      <w:r>
        <w:rPr>
          <w:rFonts w:hint="eastAsia" w:ascii="仿宋_GB2312" w:hAnsi="宋体" w:eastAsia="仿宋_GB2312" w:cs="宋体"/>
          <w:color w:val="auto"/>
          <w:spacing w:val="3"/>
          <w:sz w:val="32"/>
          <w:szCs w:val="32"/>
          <w:lang w:val="en-US" w:eastAsia="zh-CN"/>
        </w:rPr>
        <w:t>8</w:t>
      </w:r>
      <w:r>
        <w:rPr>
          <w:rFonts w:hint="eastAsia" w:ascii="仿宋_GB2312" w:hAnsi="宋体" w:eastAsia="仿宋_GB2312" w:cs="宋体"/>
          <w:spacing w:val="3"/>
          <w:sz w:val="32"/>
          <w:szCs w:val="32"/>
        </w:rPr>
        <w:t>日，根据实施细则进行评选，确定拟推荐名单；</w:t>
      </w:r>
    </w:p>
    <w:p w14:paraId="060B1D77">
      <w:pPr>
        <w:spacing w:line="570" w:lineRule="exact"/>
        <w:ind w:right="28" w:firstLine="652" w:firstLineChars="200"/>
        <w:rPr>
          <w:rFonts w:hint="eastAsia" w:ascii="仿宋_GB2312" w:hAnsi="宋体" w:eastAsia="仿宋_GB2312" w:cs="宋体"/>
          <w:color w:val="auto"/>
          <w:spacing w:val="3"/>
          <w:sz w:val="32"/>
          <w:szCs w:val="32"/>
        </w:rPr>
      </w:pPr>
      <w:r>
        <w:rPr>
          <w:rFonts w:hint="eastAsia" w:ascii="仿宋_GB2312" w:hAnsi="宋体" w:eastAsia="仿宋_GB2312" w:cs="宋体"/>
          <w:spacing w:val="3"/>
          <w:sz w:val="32"/>
          <w:szCs w:val="32"/>
          <w:lang w:eastAsia="zh-CN"/>
        </w:rPr>
        <w:t>202</w:t>
      </w:r>
      <w:r>
        <w:rPr>
          <w:rFonts w:hint="eastAsia" w:ascii="仿宋_GB2312" w:hAnsi="宋体" w:eastAsia="仿宋_GB2312" w:cs="宋体"/>
          <w:color w:val="auto"/>
          <w:spacing w:val="3"/>
          <w:sz w:val="32"/>
          <w:szCs w:val="32"/>
          <w:lang w:eastAsia="zh-CN"/>
        </w:rPr>
        <w:t>6</w:t>
      </w:r>
      <w:r>
        <w:rPr>
          <w:rFonts w:hint="eastAsia" w:ascii="仿宋_GB2312" w:hAnsi="宋体" w:eastAsia="仿宋_GB2312" w:cs="宋体"/>
          <w:color w:val="auto"/>
          <w:spacing w:val="3"/>
          <w:sz w:val="32"/>
          <w:szCs w:val="32"/>
        </w:rPr>
        <w:t>年9月29日-10月12日，完成拟推荐名单的公示及相关工作。</w:t>
      </w:r>
    </w:p>
    <w:p w14:paraId="12FE402E">
      <w:pPr>
        <w:keepNext w:val="0"/>
        <w:keepLines w:val="0"/>
        <w:pageBreakBefore w:val="0"/>
        <w:kinsoku/>
        <w:wordWrap/>
        <w:overflowPunct/>
        <w:topLinePunct w:val="0"/>
        <w:autoSpaceDE/>
        <w:autoSpaceDN/>
        <w:bidi w:val="0"/>
        <w:adjustRightInd w:val="0"/>
        <w:snapToGrid w:val="0"/>
        <w:spacing w:line="570" w:lineRule="exact"/>
        <w:ind w:firstLine="643" w:firstLineChars="200"/>
        <w:rPr>
          <w:rFonts w:hint="eastAsia" w:ascii="仿宋_GB2312" w:hAnsi="宋体" w:eastAsia="仿宋_GB2312" w:cs="微软雅黑"/>
          <w:b/>
          <w:bCs/>
          <w:color w:val="auto"/>
          <w:sz w:val="32"/>
          <w:szCs w:val="32"/>
          <w:lang w:val="en-US" w:eastAsia="zh-CN"/>
        </w:rPr>
      </w:pPr>
      <w:r>
        <w:rPr>
          <w:rFonts w:hint="eastAsia" w:ascii="仿宋_GB2312" w:hAnsi="宋体" w:eastAsia="仿宋_GB2312" w:cs="微软雅黑"/>
          <w:b/>
          <w:bCs/>
          <w:color w:val="auto"/>
          <w:sz w:val="32"/>
          <w:szCs w:val="32"/>
        </w:rPr>
        <w:t>第八条</w:t>
      </w:r>
      <w:r>
        <w:rPr>
          <w:rFonts w:hint="eastAsia" w:ascii="仿宋_GB2312" w:hAnsi="宋体" w:eastAsia="仿宋_GB2312" w:cs="微软雅黑"/>
          <w:b/>
          <w:bCs/>
          <w:color w:val="auto"/>
          <w:sz w:val="32"/>
          <w:szCs w:val="32"/>
          <w:lang w:val="en-US" w:eastAsia="zh-CN"/>
        </w:rPr>
        <w:t xml:space="preserve"> </w:t>
      </w:r>
      <w:r>
        <w:rPr>
          <w:rFonts w:hint="eastAsia" w:ascii="仿宋_GB2312" w:hAnsi="宋体" w:eastAsia="仿宋_GB2312" w:cs="宋体"/>
          <w:color w:val="auto"/>
          <w:spacing w:val="3"/>
          <w:sz w:val="32"/>
          <w:szCs w:val="32"/>
        </w:rPr>
        <w:t>在学业奖学金评选过程中,若研究生有弄虚作假或其他违规行为,一经查实，取消其获奖资格并将其行为记入个人档案，不再补报。</w:t>
      </w:r>
    </w:p>
    <w:p w14:paraId="38A387EB">
      <w:pPr>
        <w:keepNext w:val="0"/>
        <w:keepLines w:val="0"/>
        <w:pageBreakBefore w:val="0"/>
        <w:kinsoku/>
        <w:wordWrap/>
        <w:overflowPunct/>
        <w:topLinePunct w:val="0"/>
        <w:autoSpaceDE/>
        <w:autoSpaceDN/>
        <w:bidi w:val="0"/>
        <w:adjustRightInd w:val="0"/>
        <w:snapToGrid w:val="0"/>
        <w:spacing w:line="570" w:lineRule="exact"/>
        <w:ind w:firstLine="643" w:firstLineChars="200"/>
        <w:rPr>
          <w:rFonts w:ascii="宋体" w:hAnsi="宋体" w:eastAsia="宋体" w:cs="微软雅黑"/>
          <w:sz w:val="32"/>
          <w:szCs w:val="32"/>
        </w:rPr>
      </w:pPr>
      <w:r>
        <w:rPr>
          <w:rFonts w:hint="eastAsia" w:ascii="仿宋_GB2312" w:hAnsi="宋体" w:eastAsia="仿宋_GB2312" w:cs="宋体"/>
          <w:b/>
          <w:bCs/>
          <w:color w:val="auto"/>
          <w:sz w:val="32"/>
          <w:szCs w:val="32"/>
        </w:rPr>
        <w:t>第</w:t>
      </w:r>
      <w:r>
        <w:rPr>
          <w:rFonts w:hint="eastAsia" w:ascii="仿宋_GB2312" w:hAnsi="宋体" w:eastAsia="仿宋_GB2312" w:cs="宋体"/>
          <w:b/>
          <w:bCs/>
          <w:color w:val="auto"/>
          <w:sz w:val="32"/>
          <w:szCs w:val="32"/>
          <w:lang w:val="en-US" w:eastAsia="zh-CN"/>
        </w:rPr>
        <w:t>九</w:t>
      </w:r>
      <w:r>
        <w:rPr>
          <w:rFonts w:hint="eastAsia" w:ascii="仿宋_GB2312" w:hAnsi="宋体" w:eastAsia="仿宋_GB2312" w:cs="宋体"/>
          <w:b/>
          <w:bCs/>
          <w:color w:val="auto"/>
          <w:sz w:val="32"/>
          <w:szCs w:val="32"/>
        </w:rPr>
        <w:t>条</w:t>
      </w:r>
      <w:r>
        <w:rPr>
          <w:rFonts w:hint="eastAsia" w:ascii="仿宋_GB2312" w:hAnsi="宋体" w:eastAsia="仿宋_GB2312" w:cs="宋体"/>
          <w:b/>
          <w:bCs/>
          <w:color w:val="auto"/>
          <w:sz w:val="32"/>
          <w:szCs w:val="32"/>
          <w:lang w:val="en-US" w:eastAsia="zh-CN"/>
        </w:rPr>
        <w:t xml:space="preserve"> </w:t>
      </w:r>
      <w:r>
        <w:rPr>
          <w:rFonts w:hint="eastAsia" w:ascii="仿宋_GB2312" w:hAnsi="宋体" w:eastAsia="仿宋_GB2312" w:cs="宋体"/>
          <w:color w:val="auto"/>
          <w:spacing w:val="3"/>
          <w:sz w:val="32"/>
          <w:szCs w:val="32"/>
        </w:rPr>
        <w:t>申诉。</w:t>
      </w:r>
      <w:r>
        <w:rPr>
          <w:rFonts w:hint="eastAsia" w:ascii="仿宋_GB2312" w:hAnsi="宋体" w:eastAsia="仿宋_GB2312" w:cs="微软雅黑"/>
          <w:color w:val="auto"/>
          <w:sz w:val="32"/>
          <w:szCs w:val="32"/>
        </w:rPr>
        <w:t>对研究生学业奖学金</w:t>
      </w:r>
      <w:r>
        <w:rPr>
          <w:rFonts w:hint="eastAsia" w:ascii="仿宋_GB2312" w:hAnsi="宋体" w:eastAsia="仿宋_GB2312" w:cs="微软雅黑"/>
          <w:sz w:val="32"/>
          <w:szCs w:val="32"/>
        </w:rPr>
        <w:t>评审结果有异议的学生，可在本院评审结果公布之日起</w:t>
      </w:r>
      <w:r>
        <w:rPr>
          <w:rFonts w:ascii="仿宋_GB2312" w:hAnsi="宋体" w:eastAsia="仿宋_GB2312" w:cs="微软雅黑"/>
          <w:sz w:val="32"/>
          <w:szCs w:val="32"/>
        </w:rPr>
        <w:t>5</w:t>
      </w:r>
      <w:r>
        <w:rPr>
          <w:rFonts w:hint="eastAsia" w:ascii="仿宋_GB2312" w:hAnsi="宋体" w:eastAsia="仿宋_GB2312" w:cs="微软雅黑"/>
          <w:sz w:val="32"/>
          <w:szCs w:val="32"/>
        </w:rPr>
        <w:t>个工作日内向学院研究生评奖评优工作领导小组提出书面申诉，工作领导小组应在接受申诉后</w:t>
      </w:r>
      <w:r>
        <w:rPr>
          <w:rFonts w:ascii="仿宋_GB2312" w:hAnsi="宋体" w:eastAsia="仿宋_GB2312" w:cs="微软雅黑"/>
          <w:sz w:val="32"/>
          <w:szCs w:val="32"/>
        </w:rPr>
        <w:t>5</w:t>
      </w:r>
      <w:r>
        <w:rPr>
          <w:rFonts w:hint="eastAsia" w:ascii="仿宋_GB2312" w:hAnsi="宋体" w:eastAsia="仿宋_GB2312" w:cs="微软雅黑"/>
          <w:sz w:val="32"/>
          <w:szCs w:val="32"/>
        </w:rPr>
        <w:t>个工作日内做出答复。如对本院研究生学业奖学金评审工作小组的评审答复仍有异议，可在工作小组答复后</w:t>
      </w:r>
      <w:r>
        <w:rPr>
          <w:rFonts w:ascii="仿宋_GB2312" w:hAnsi="宋体" w:eastAsia="仿宋_GB2312" w:cs="微软雅黑"/>
          <w:sz w:val="32"/>
          <w:szCs w:val="32"/>
        </w:rPr>
        <w:t>5</w:t>
      </w:r>
      <w:r>
        <w:rPr>
          <w:rFonts w:hint="eastAsia" w:ascii="仿宋_GB2312" w:hAnsi="宋体" w:eastAsia="仿宋_GB2312" w:cs="微软雅黑"/>
          <w:sz w:val="32"/>
          <w:szCs w:val="32"/>
        </w:rPr>
        <w:t>个工作日内向学校研究生院提起申诉。</w:t>
      </w:r>
    </w:p>
    <w:p w14:paraId="060B1D79">
      <w:pPr>
        <w:spacing w:line="570" w:lineRule="exact"/>
        <w:ind w:left="88" w:right="26" w:firstLine="643"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z w:val="32"/>
          <w:szCs w:val="32"/>
        </w:rPr>
        <w:t>第</w:t>
      </w:r>
      <w:r>
        <w:rPr>
          <w:rFonts w:hint="eastAsia" w:ascii="仿宋_GB2312" w:hAnsi="宋体" w:eastAsia="仿宋_GB2312" w:cs="宋体"/>
          <w:b/>
          <w:bCs/>
          <w:color w:val="auto"/>
          <w:sz w:val="32"/>
          <w:szCs w:val="32"/>
          <w:lang w:val="en-US" w:eastAsia="zh-CN"/>
        </w:rPr>
        <w:t>十</w:t>
      </w:r>
      <w:r>
        <w:rPr>
          <w:rFonts w:hint="eastAsia" w:ascii="仿宋_GB2312" w:hAnsi="宋体" w:eastAsia="仿宋_GB2312" w:cs="宋体"/>
          <w:b/>
          <w:bCs/>
          <w:color w:val="auto"/>
          <w:sz w:val="32"/>
          <w:szCs w:val="32"/>
        </w:rPr>
        <w:t>条</w:t>
      </w:r>
      <w:r>
        <w:rPr>
          <w:rFonts w:hint="eastAsia" w:ascii="仿宋_GB2312" w:hAnsi="宋体" w:eastAsia="仿宋_GB2312" w:cs="宋体"/>
          <w:b/>
          <w:bCs/>
          <w:color w:val="auto"/>
          <w:sz w:val="32"/>
          <w:szCs w:val="32"/>
          <w:lang w:val="en-US" w:eastAsia="zh-CN"/>
        </w:rPr>
        <w:t xml:space="preserve"> </w:t>
      </w:r>
      <w:r>
        <w:rPr>
          <w:rFonts w:hint="eastAsia" w:ascii="仿宋_GB2312" w:hAnsi="宋体" w:eastAsia="仿宋_GB2312" w:cs="宋体"/>
          <w:color w:val="auto"/>
          <w:sz w:val="32"/>
          <w:szCs w:val="32"/>
        </w:rPr>
        <w:t>本实施细则由商船学院研究生评奖评优工作领导小组负责解释</w:t>
      </w:r>
      <w:r>
        <w:rPr>
          <w:rFonts w:hint="eastAsia" w:ascii="仿宋_GB2312" w:hAnsi="宋体" w:eastAsia="仿宋_GB2312" w:cs="宋体"/>
          <w:color w:val="auto"/>
          <w:spacing w:val="-33"/>
          <w:sz w:val="32"/>
          <w:szCs w:val="32"/>
        </w:rPr>
        <w:t>，</w:t>
      </w:r>
      <w:r>
        <w:rPr>
          <w:rFonts w:hint="eastAsia" w:ascii="仿宋_GB2312" w:hAnsi="宋体" w:eastAsia="仿宋_GB2312" w:cs="宋体"/>
          <w:color w:val="auto"/>
          <w:sz w:val="32"/>
          <w:szCs w:val="32"/>
        </w:rPr>
        <w:t>自公布之日起实行</w:t>
      </w:r>
      <w:r>
        <w:rPr>
          <w:rFonts w:hint="eastAsia" w:ascii="仿宋_GB2312" w:hAnsi="宋体" w:eastAsia="仿宋_GB2312" w:cs="宋体"/>
          <w:color w:val="auto"/>
          <w:spacing w:val="-57"/>
          <w:sz w:val="32"/>
          <w:szCs w:val="32"/>
        </w:rPr>
        <w:t>。</w:t>
      </w:r>
    </w:p>
    <w:p w14:paraId="155052E9">
      <w:pPr>
        <w:keepNext w:val="0"/>
        <w:keepLines w:val="0"/>
        <w:pageBreakBefore w:val="0"/>
        <w:widowControl/>
        <w:kinsoku/>
        <w:wordWrap/>
        <w:overflowPunct/>
        <w:topLinePunct w:val="0"/>
        <w:autoSpaceDE/>
        <w:autoSpaceDN/>
        <w:bidi w:val="0"/>
        <w:spacing w:line="570" w:lineRule="exact"/>
        <w:jc w:val="left"/>
        <w:rPr>
          <w:rFonts w:ascii="宋体" w:hAnsi="宋体" w:eastAsia="宋体" w:cs="微软雅黑"/>
          <w:color w:val="FF0000"/>
          <w:sz w:val="32"/>
          <w:szCs w:val="32"/>
        </w:rPr>
        <w:sectPr>
          <w:type w:val="continuous"/>
          <w:pgSz w:w="11900" w:h="16840"/>
          <w:pgMar w:top="1440" w:right="1800" w:bottom="1440" w:left="1800" w:header="851" w:footer="992" w:gutter="0"/>
          <w:pgNumType w:fmt="numberInDash"/>
          <w:cols w:space="425" w:num="1"/>
          <w:docGrid w:type="lines" w:linePitch="312" w:charSpace="0"/>
        </w:sectPr>
      </w:pPr>
    </w:p>
    <w:p w14:paraId="4D020299">
      <w:pPr>
        <w:adjustRightInd w:val="0"/>
        <w:snapToGrid w:val="0"/>
        <w:spacing w:before="100" w:beforeAutospacing="1" w:after="100" w:afterAutospacing="1" w:line="570" w:lineRule="exact"/>
        <w:jc w:val="center"/>
        <w:rPr>
          <w:rFonts w:ascii="方正小标宋简体" w:hAnsi="宋体" w:eastAsia="方正小标宋简体" w:cs="微软雅黑"/>
          <w:sz w:val="36"/>
          <w:szCs w:val="36"/>
        </w:rPr>
      </w:pPr>
      <w:r>
        <w:rPr>
          <w:rFonts w:hint="eastAsia" w:ascii="方正小标宋简体" w:hAnsi="宋体" w:eastAsia="方正小标宋简体" w:cs="微软雅黑"/>
          <w:sz w:val="36"/>
          <w:szCs w:val="36"/>
        </w:rPr>
        <w:t>商船学院202</w:t>
      </w:r>
      <w:r>
        <w:rPr>
          <w:rFonts w:hint="eastAsia" w:ascii="方正小标宋简体" w:hAnsi="宋体" w:eastAsia="方正小标宋简体" w:cs="微软雅黑"/>
          <w:sz w:val="36"/>
          <w:szCs w:val="36"/>
          <w:lang w:val="en-US" w:eastAsia="zh-CN"/>
        </w:rPr>
        <w:t>5</w:t>
      </w:r>
      <w:r>
        <w:rPr>
          <w:rFonts w:hint="eastAsia" w:ascii="方正小标宋简体" w:hAnsi="宋体" w:eastAsia="方正小标宋简体" w:cs="微软雅黑"/>
          <w:sz w:val="36"/>
          <w:szCs w:val="36"/>
        </w:rPr>
        <w:t>-202</w:t>
      </w:r>
      <w:r>
        <w:rPr>
          <w:rFonts w:hint="eastAsia" w:ascii="方正小标宋简体" w:hAnsi="宋体" w:eastAsia="方正小标宋简体" w:cs="微软雅黑"/>
          <w:sz w:val="36"/>
          <w:szCs w:val="36"/>
          <w:lang w:val="en-US" w:eastAsia="zh-CN"/>
        </w:rPr>
        <w:t>6</w:t>
      </w:r>
      <w:r>
        <w:rPr>
          <w:rFonts w:hint="eastAsia" w:ascii="方正小标宋简体" w:hAnsi="宋体" w:eastAsia="方正小标宋简体" w:cs="微软雅黑"/>
          <w:sz w:val="36"/>
          <w:szCs w:val="36"/>
        </w:rPr>
        <w:t>学年硕士研究生学业奖学金</w:t>
      </w:r>
      <w:r>
        <w:rPr>
          <w:rFonts w:hint="eastAsia" w:ascii="方正小标宋简体" w:hAnsi="宋体" w:eastAsia="方正小标宋简体" w:cs="宋体"/>
          <w:kern w:val="0"/>
          <w:sz w:val="36"/>
          <w:szCs w:val="36"/>
        </w:rPr>
        <w:t>计分表</w:t>
      </w:r>
    </w:p>
    <w:tbl>
      <w:tblPr>
        <w:tblStyle w:val="6"/>
        <w:tblpPr w:leftFromText="180" w:rightFromText="180" w:vertAnchor="page" w:horzAnchor="margin" w:tblpXSpec="center" w:tblpY="2767"/>
        <w:tblW w:w="10201" w:type="dxa"/>
        <w:jc w:val="center"/>
        <w:tblLayout w:type="autofit"/>
        <w:tblCellMar>
          <w:top w:w="0" w:type="dxa"/>
          <w:left w:w="108" w:type="dxa"/>
          <w:bottom w:w="0" w:type="dxa"/>
          <w:right w:w="108" w:type="dxa"/>
        </w:tblCellMar>
      </w:tblPr>
      <w:tblGrid>
        <w:gridCol w:w="700"/>
        <w:gridCol w:w="700"/>
        <w:gridCol w:w="1180"/>
        <w:gridCol w:w="1180"/>
        <w:gridCol w:w="1180"/>
        <w:gridCol w:w="1180"/>
        <w:gridCol w:w="1180"/>
        <w:gridCol w:w="2901"/>
      </w:tblGrid>
      <w:tr w14:paraId="735FD622">
        <w:tblPrEx>
          <w:tblCellMar>
            <w:top w:w="0" w:type="dxa"/>
            <w:left w:w="108" w:type="dxa"/>
            <w:bottom w:w="0" w:type="dxa"/>
            <w:right w:w="108" w:type="dxa"/>
          </w:tblCellMar>
        </w:tblPrEx>
        <w:trPr>
          <w:trHeight w:val="600" w:hRule="atLeast"/>
          <w:jc w:val="center"/>
        </w:trPr>
        <w:tc>
          <w:tcPr>
            <w:tcW w:w="14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282206">
            <w:pPr>
              <w:widowControl/>
              <w:spacing w:line="57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指标</w:t>
            </w:r>
          </w:p>
        </w:tc>
        <w:tc>
          <w:tcPr>
            <w:tcW w:w="5900" w:type="dxa"/>
            <w:gridSpan w:val="5"/>
            <w:tcBorders>
              <w:top w:val="single" w:color="auto" w:sz="4" w:space="0"/>
              <w:left w:val="nil"/>
              <w:bottom w:val="single" w:color="auto" w:sz="4" w:space="0"/>
              <w:right w:val="single" w:color="auto" w:sz="4" w:space="0"/>
            </w:tcBorders>
            <w:shd w:val="clear" w:color="auto" w:fill="auto"/>
            <w:vAlign w:val="center"/>
          </w:tcPr>
          <w:p w14:paraId="5D4844B3">
            <w:pPr>
              <w:widowControl/>
              <w:spacing w:line="57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测评分数</w:t>
            </w:r>
          </w:p>
        </w:tc>
        <w:tc>
          <w:tcPr>
            <w:tcW w:w="2901" w:type="dxa"/>
            <w:tcBorders>
              <w:top w:val="single" w:color="auto" w:sz="4" w:space="0"/>
              <w:left w:val="nil"/>
              <w:bottom w:val="single" w:color="auto" w:sz="4" w:space="0"/>
              <w:right w:val="single" w:color="auto" w:sz="4" w:space="0"/>
            </w:tcBorders>
            <w:shd w:val="clear" w:color="auto" w:fill="auto"/>
            <w:vAlign w:val="center"/>
          </w:tcPr>
          <w:p w14:paraId="3F978D7D">
            <w:pPr>
              <w:widowControl/>
              <w:spacing w:line="57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评价人</w:t>
            </w:r>
          </w:p>
        </w:tc>
      </w:tr>
      <w:tr w14:paraId="114CC625">
        <w:tblPrEx>
          <w:tblCellMar>
            <w:top w:w="0" w:type="dxa"/>
            <w:left w:w="108" w:type="dxa"/>
            <w:bottom w:w="0" w:type="dxa"/>
            <w:right w:w="108" w:type="dxa"/>
          </w:tblCellMar>
        </w:tblPrEx>
        <w:trPr>
          <w:trHeight w:val="251" w:hRule="atLeast"/>
          <w:jc w:val="center"/>
        </w:trPr>
        <w:tc>
          <w:tcPr>
            <w:tcW w:w="1400" w:type="dxa"/>
            <w:gridSpan w:val="2"/>
            <w:vMerge w:val="restart"/>
            <w:tcBorders>
              <w:top w:val="single" w:color="auto" w:sz="4" w:space="0"/>
              <w:left w:val="single" w:color="auto" w:sz="4" w:space="0"/>
              <w:right w:val="single" w:color="auto" w:sz="4" w:space="0"/>
            </w:tcBorders>
            <w:shd w:val="clear" w:color="auto" w:fill="auto"/>
            <w:vAlign w:val="center"/>
          </w:tcPr>
          <w:p w14:paraId="23F5B60D">
            <w:pPr>
              <w:widowControl/>
              <w:spacing w:line="57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思想道德</w:t>
            </w:r>
            <w:r>
              <w:rPr>
                <w:rFonts w:ascii="宋体" w:hAnsi="宋体" w:eastAsia="宋体" w:cs="宋体"/>
                <w:color w:val="000000"/>
                <w:kern w:val="0"/>
                <w:sz w:val="22"/>
                <w:szCs w:val="22"/>
              </w:rPr>
              <w:t>(≦5</w:t>
            </w:r>
            <w:r>
              <w:rPr>
                <w:rFonts w:hint="eastAsia" w:ascii="宋体" w:hAnsi="宋体" w:eastAsia="宋体" w:cs="宋体"/>
                <w:color w:val="000000"/>
                <w:kern w:val="0"/>
                <w:sz w:val="22"/>
                <w:szCs w:val="22"/>
              </w:rPr>
              <w:t>分</w:t>
            </w:r>
            <w:r>
              <w:rPr>
                <w:rFonts w:ascii="宋体" w:hAnsi="宋体" w:eastAsia="宋体" w:cs="宋体"/>
                <w:color w:val="000000"/>
                <w:kern w:val="0"/>
                <w:sz w:val="22"/>
                <w:szCs w:val="22"/>
              </w:rPr>
              <w:t>)</w:t>
            </w:r>
          </w:p>
        </w:tc>
        <w:tc>
          <w:tcPr>
            <w:tcW w:w="1180" w:type="dxa"/>
            <w:tcBorders>
              <w:top w:val="single" w:color="auto" w:sz="4" w:space="0"/>
              <w:left w:val="nil"/>
              <w:bottom w:val="single" w:color="auto" w:sz="4" w:space="0"/>
              <w:right w:val="single" w:color="auto" w:sz="4" w:space="0"/>
            </w:tcBorders>
            <w:shd w:val="clear" w:color="auto" w:fill="auto"/>
            <w:vAlign w:val="center"/>
          </w:tcPr>
          <w:p w14:paraId="2E6AC418">
            <w:pPr>
              <w:widowControl/>
              <w:spacing w:line="570" w:lineRule="exact"/>
              <w:jc w:val="center"/>
              <w:rPr>
                <w:rFonts w:ascii="宋体" w:hAnsi="宋体" w:eastAsia="宋体" w:cs="Times New Roman"/>
                <w:color w:val="000000"/>
                <w:kern w:val="0"/>
                <w:szCs w:val="21"/>
              </w:rPr>
            </w:pPr>
            <w:r>
              <w:rPr>
                <w:rFonts w:hint="eastAsia" w:ascii="宋体" w:hAnsi="宋体" w:eastAsia="宋体" w:cs="Times New Roman"/>
                <w:color w:val="000000"/>
                <w:kern w:val="0"/>
                <w:szCs w:val="21"/>
              </w:rPr>
              <w:t>基本分</w:t>
            </w:r>
          </w:p>
        </w:tc>
        <w:tc>
          <w:tcPr>
            <w:tcW w:w="3540" w:type="dxa"/>
            <w:gridSpan w:val="3"/>
            <w:tcBorders>
              <w:top w:val="single" w:color="auto" w:sz="4" w:space="0"/>
              <w:left w:val="nil"/>
              <w:bottom w:val="single" w:color="auto" w:sz="4" w:space="0"/>
              <w:right w:val="single" w:color="auto" w:sz="4" w:space="0"/>
            </w:tcBorders>
            <w:shd w:val="clear" w:color="auto" w:fill="auto"/>
            <w:vAlign w:val="center"/>
          </w:tcPr>
          <w:p w14:paraId="3018D1EC">
            <w:pPr>
              <w:widowControl/>
              <w:spacing w:line="570" w:lineRule="exact"/>
              <w:jc w:val="center"/>
              <w:rPr>
                <w:rFonts w:ascii="宋体" w:hAnsi="宋体" w:eastAsia="宋体" w:cs="Times New Roman"/>
                <w:color w:val="000000"/>
                <w:kern w:val="0"/>
                <w:szCs w:val="21"/>
              </w:rPr>
            </w:pPr>
            <w:r>
              <w:rPr>
                <w:rFonts w:hint="eastAsia" w:ascii="宋体" w:hAnsi="宋体" w:eastAsia="宋体" w:cs="Times New Roman"/>
                <w:color w:val="000000"/>
                <w:kern w:val="0"/>
                <w:szCs w:val="21"/>
              </w:rPr>
              <w:t>加减分</w:t>
            </w:r>
          </w:p>
        </w:tc>
        <w:tc>
          <w:tcPr>
            <w:tcW w:w="1180" w:type="dxa"/>
            <w:vMerge w:val="restart"/>
            <w:tcBorders>
              <w:top w:val="nil"/>
              <w:left w:val="nil"/>
              <w:right w:val="single" w:color="auto" w:sz="4" w:space="0"/>
            </w:tcBorders>
            <w:shd w:val="clear" w:color="auto" w:fill="auto"/>
            <w:vAlign w:val="center"/>
          </w:tcPr>
          <w:p w14:paraId="12F37BD4">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　</w:t>
            </w:r>
          </w:p>
        </w:tc>
        <w:tc>
          <w:tcPr>
            <w:tcW w:w="2901" w:type="dxa"/>
            <w:vMerge w:val="restart"/>
            <w:tcBorders>
              <w:top w:val="single" w:color="auto" w:sz="4" w:space="0"/>
              <w:left w:val="nil"/>
              <w:bottom w:val="single" w:color="auto" w:sz="4" w:space="0"/>
              <w:right w:val="single" w:color="auto" w:sz="4" w:space="0"/>
            </w:tcBorders>
            <w:shd w:val="clear" w:color="auto" w:fill="auto"/>
            <w:vAlign w:val="center"/>
          </w:tcPr>
          <w:p w14:paraId="7C22EEA4">
            <w:pPr>
              <w:widowControl/>
              <w:spacing w:line="57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辅导员签名：</w:t>
            </w:r>
          </w:p>
        </w:tc>
      </w:tr>
      <w:tr w14:paraId="09239E1B">
        <w:tblPrEx>
          <w:tblCellMar>
            <w:top w:w="0" w:type="dxa"/>
            <w:left w:w="108" w:type="dxa"/>
            <w:bottom w:w="0" w:type="dxa"/>
            <w:right w:w="108" w:type="dxa"/>
          </w:tblCellMar>
        </w:tblPrEx>
        <w:trPr>
          <w:trHeight w:val="251" w:hRule="atLeast"/>
          <w:jc w:val="center"/>
        </w:trPr>
        <w:tc>
          <w:tcPr>
            <w:tcW w:w="1400" w:type="dxa"/>
            <w:gridSpan w:val="2"/>
            <w:vMerge w:val="continue"/>
            <w:tcBorders>
              <w:left w:val="single" w:color="auto" w:sz="4" w:space="0"/>
              <w:bottom w:val="single" w:color="auto" w:sz="4" w:space="0"/>
              <w:right w:val="single" w:color="auto" w:sz="4" w:space="0"/>
            </w:tcBorders>
            <w:shd w:val="clear" w:color="auto" w:fill="auto"/>
            <w:vAlign w:val="center"/>
          </w:tcPr>
          <w:p w14:paraId="2E6C13E7">
            <w:pPr>
              <w:widowControl/>
              <w:spacing w:line="570" w:lineRule="exact"/>
              <w:jc w:val="center"/>
              <w:rPr>
                <w:rFonts w:ascii="宋体" w:hAnsi="宋体" w:eastAsia="宋体" w:cs="宋体"/>
                <w:color w:val="000000"/>
                <w:kern w:val="0"/>
                <w:sz w:val="22"/>
                <w:szCs w:val="22"/>
              </w:rPr>
            </w:pPr>
          </w:p>
        </w:tc>
        <w:tc>
          <w:tcPr>
            <w:tcW w:w="1180" w:type="dxa"/>
            <w:tcBorders>
              <w:top w:val="single" w:color="auto" w:sz="4" w:space="0"/>
              <w:left w:val="nil"/>
              <w:bottom w:val="single" w:color="auto" w:sz="4" w:space="0"/>
              <w:right w:val="single" w:color="auto" w:sz="4" w:space="0"/>
            </w:tcBorders>
            <w:shd w:val="clear" w:color="auto" w:fill="auto"/>
            <w:vAlign w:val="center"/>
          </w:tcPr>
          <w:p w14:paraId="0D8F8DF2">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2.5</w:t>
            </w:r>
          </w:p>
        </w:tc>
        <w:tc>
          <w:tcPr>
            <w:tcW w:w="3540" w:type="dxa"/>
            <w:gridSpan w:val="3"/>
            <w:tcBorders>
              <w:top w:val="single" w:color="auto" w:sz="4" w:space="0"/>
              <w:left w:val="nil"/>
              <w:bottom w:val="single" w:color="auto" w:sz="4" w:space="0"/>
              <w:right w:val="single" w:color="auto" w:sz="4" w:space="0"/>
            </w:tcBorders>
            <w:shd w:val="clear" w:color="auto" w:fill="auto"/>
            <w:vAlign w:val="center"/>
          </w:tcPr>
          <w:p w14:paraId="2241606D">
            <w:pPr>
              <w:widowControl/>
              <w:spacing w:line="570" w:lineRule="exact"/>
              <w:jc w:val="center"/>
              <w:rPr>
                <w:rFonts w:ascii="宋体" w:hAnsi="宋体" w:eastAsia="宋体" w:cs="Times New Roman"/>
                <w:color w:val="000000"/>
                <w:kern w:val="0"/>
                <w:szCs w:val="21"/>
              </w:rPr>
            </w:pPr>
          </w:p>
        </w:tc>
        <w:tc>
          <w:tcPr>
            <w:tcW w:w="1180" w:type="dxa"/>
            <w:vMerge w:val="continue"/>
            <w:tcBorders>
              <w:left w:val="nil"/>
              <w:bottom w:val="single" w:color="auto" w:sz="4" w:space="0"/>
              <w:right w:val="single" w:color="auto" w:sz="4" w:space="0"/>
            </w:tcBorders>
            <w:shd w:val="clear" w:color="auto" w:fill="auto"/>
            <w:vAlign w:val="center"/>
          </w:tcPr>
          <w:p w14:paraId="1E6E0EA1">
            <w:pPr>
              <w:widowControl/>
              <w:spacing w:line="570" w:lineRule="exact"/>
              <w:jc w:val="center"/>
              <w:rPr>
                <w:rFonts w:ascii="宋体" w:hAnsi="宋体" w:eastAsia="宋体" w:cs="Times New Roman"/>
                <w:color w:val="000000"/>
                <w:kern w:val="0"/>
                <w:szCs w:val="21"/>
              </w:rPr>
            </w:pPr>
          </w:p>
        </w:tc>
        <w:tc>
          <w:tcPr>
            <w:tcW w:w="2901" w:type="dxa"/>
            <w:vMerge w:val="continue"/>
            <w:tcBorders>
              <w:left w:val="nil"/>
              <w:bottom w:val="single" w:color="auto" w:sz="4" w:space="0"/>
              <w:right w:val="single" w:color="auto" w:sz="4" w:space="0"/>
            </w:tcBorders>
            <w:shd w:val="clear" w:color="auto" w:fill="auto"/>
            <w:vAlign w:val="center"/>
          </w:tcPr>
          <w:p w14:paraId="56278285">
            <w:pPr>
              <w:widowControl/>
              <w:spacing w:line="570" w:lineRule="exact"/>
              <w:jc w:val="left"/>
              <w:rPr>
                <w:rFonts w:ascii="宋体" w:hAnsi="宋体" w:eastAsia="宋体" w:cs="宋体"/>
                <w:color w:val="000000"/>
                <w:kern w:val="0"/>
                <w:szCs w:val="21"/>
              </w:rPr>
            </w:pPr>
          </w:p>
        </w:tc>
      </w:tr>
      <w:tr w14:paraId="50479013">
        <w:tblPrEx>
          <w:tblCellMar>
            <w:top w:w="0" w:type="dxa"/>
            <w:left w:w="108" w:type="dxa"/>
            <w:bottom w:w="0" w:type="dxa"/>
            <w:right w:w="108" w:type="dxa"/>
          </w:tblCellMar>
        </w:tblPrEx>
        <w:trPr>
          <w:trHeight w:val="300" w:hRule="atLeast"/>
          <w:jc w:val="center"/>
        </w:trPr>
        <w:tc>
          <w:tcPr>
            <w:tcW w:w="140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877D40">
            <w:pPr>
              <w:widowControl/>
              <w:spacing w:line="57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课程学习</w:t>
            </w:r>
          </w:p>
        </w:tc>
        <w:tc>
          <w:tcPr>
            <w:tcW w:w="1180" w:type="dxa"/>
            <w:tcBorders>
              <w:top w:val="nil"/>
              <w:left w:val="nil"/>
              <w:bottom w:val="single" w:color="auto" w:sz="4" w:space="0"/>
              <w:right w:val="single" w:color="auto" w:sz="4" w:space="0"/>
            </w:tcBorders>
            <w:shd w:val="clear" w:color="auto" w:fill="auto"/>
            <w:vAlign w:val="center"/>
          </w:tcPr>
          <w:p w14:paraId="3C5C06E8">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A</w:t>
            </w:r>
          </w:p>
        </w:tc>
        <w:tc>
          <w:tcPr>
            <w:tcW w:w="1180" w:type="dxa"/>
            <w:tcBorders>
              <w:top w:val="nil"/>
              <w:left w:val="nil"/>
              <w:bottom w:val="single" w:color="auto" w:sz="4" w:space="0"/>
              <w:right w:val="single" w:color="auto" w:sz="4" w:space="0"/>
            </w:tcBorders>
            <w:shd w:val="clear" w:color="auto" w:fill="auto"/>
            <w:vAlign w:val="center"/>
          </w:tcPr>
          <w:p w14:paraId="65813DFA">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B</w:t>
            </w:r>
          </w:p>
        </w:tc>
        <w:tc>
          <w:tcPr>
            <w:tcW w:w="1180" w:type="dxa"/>
            <w:tcBorders>
              <w:top w:val="nil"/>
              <w:left w:val="nil"/>
              <w:bottom w:val="single" w:color="auto" w:sz="4" w:space="0"/>
              <w:right w:val="single" w:color="auto" w:sz="4" w:space="0"/>
            </w:tcBorders>
            <w:shd w:val="clear" w:color="auto" w:fill="auto"/>
            <w:vAlign w:val="center"/>
          </w:tcPr>
          <w:p w14:paraId="6594FF39">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C</w:t>
            </w:r>
          </w:p>
        </w:tc>
        <w:tc>
          <w:tcPr>
            <w:tcW w:w="1180" w:type="dxa"/>
            <w:tcBorders>
              <w:top w:val="nil"/>
              <w:left w:val="nil"/>
              <w:bottom w:val="single" w:color="auto" w:sz="4" w:space="0"/>
              <w:right w:val="single" w:color="auto" w:sz="4" w:space="0"/>
            </w:tcBorders>
            <w:shd w:val="clear" w:color="auto" w:fill="auto"/>
            <w:vAlign w:val="center"/>
          </w:tcPr>
          <w:p w14:paraId="02BE7744">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D</w:t>
            </w:r>
          </w:p>
        </w:tc>
        <w:tc>
          <w:tcPr>
            <w:tcW w:w="1180" w:type="dxa"/>
            <w:vMerge w:val="restart"/>
            <w:tcBorders>
              <w:top w:val="nil"/>
              <w:left w:val="single" w:color="auto" w:sz="4" w:space="0"/>
              <w:bottom w:val="single" w:color="auto" w:sz="4" w:space="0"/>
              <w:right w:val="single" w:color="auto" w:sz="4" w:space="0"/>
            </w:tcBorders>
            <w:shd w:val="clear" w:color="auto" w:fill="auto"/>
            <w:vAlign w:val="center"/>
          </w:tcPr>
          <w:p w14:paraId="1422CCFE">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　</w:t>
            </w:r>
          </w:p>
        </w:tc>
        <w:tc>
          <w:tcPr>
            <w:tcW w:w="29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0CA986">
            <w:pPr>
              <w:widowControl/>
              <w:spacing w:line="57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教学秘书签名：</w:t>
            </w:r>
          </w:p>
        </w:tc>
      </w:tr>
      <w:tr w14:paraId="0C277A84">
        <w:tblPrEx>
          <w:tblCellMar>
            <w:top w:w="0" w:type="dxa"/>
            <w:left w:w="108" w:type="dxa"/>
            <w:bottom w:w="0" w:type="dxa"/>
            <w:right w:w="108" w:type="dxa"/>
          </w:tblCellMar>
        </w:tblPrEx>
        <w:trPr>
          <w:trHeight w:val="300" w:hRule="atLeast"/>
          <w:jc w:val="center"/>
        </w:trPr>
        <w:tc>
          <w:tcPr>
            <w:tcW w:w="1400" w:type="dxa"/>
            <w:gridSpan w:val="2"/>
            <w:vMerge w:val="continue"/>
            <w:tcBorders>
              <w:top w:val="single" w:color="auto" w:sz="4" w:space="0"/>
              <w:left w:val="single" w:color="auto" w:sz="4" w:space="0"/>
              <w:bottom w:val="single" w:color="auto" w:sz="4" w:space="0"/>
              <w:right w:val="single" w:color="auto" w:sz="4" w:space="0"/>
            </w:tcBorders>
            <w:vAlign w:val="center"/>
          </w:tcPr>
          <w:p w14:paraId="38B20E06">
            <w:pPr>
              <w:widowControl/>
              <w:spacing w:line="570" w:lineRule="exact"/>
              <w:jc w:val="left"/>
              <w:rPr>
                <w:rFonts w:ascii="宋体" w:hAnsi="宋体" w:eastAsia="宋体" w:cs="宋体"/>
                <w:color w:val="000000"/>
                <w:kern w:val="0"/>
                <w:sz w:val="22"/>
                <w:szCs w:val="22"/>
              </w:rPr>
            </w:pPr>
          </w:p>
        </w:tc>
        <w:tc>
          <w:tcPr>
            <w:tcW w:w="1180" w:type="dxa"/>
            <w:tcBorders>
              <w:top w:val="nil"/>
              <w:left w:val="nil"/>
              <w:bottom w:val="single" w:color="auto" w:sz="4" w:space="0"/>
              <w:right w:val="single" w:color="auto" w:sz="4" w:space="0"/>
            </w:tcBorders>
            <w:shd w:val="clear" w:color="auto" w:fill="auto"/>
            <w:vAlign w:val="center"/>
          </w:tcPr>
          <w:p w14:paraId="0173F9F2">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20</w:t>
            </w:r>
          </w:p>
        </w:tc>
        <w:tc>
          <w:tcPr>
            <w:tcW w:w="1180" w:type="dxa"/>
            <w:tcBorders>
              <w:top w:val="nil"/>
              <w:left w:val="nil"/>
              <w:bottom w:val="single" w:color="auto" w:sz="4" w:space="0"/>
              <w:right w:val="single" w:color="auto" w:sz="4" w:space="0"/>
            </w:tcBorders>
            <w:shd w:val="clear" w:color="auto" w:fill="auto"/>
            <w:vAlign w:val="center"/>
          </w:tcPr>
          <w:p w14:paraId="5A18E182">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16</w:t>
            </w:r>
          </w:p>
        </w:tc>
        <w:tc>
          <w:tcPr>
            <w:tcW w:w="1180" w:type="dxa"/>
            <w:tcBorders>
              <w:top w:val="nil"/>
              <w:left w:val="nil"/>
              <w:bottom w:val="single" w:color="auto" w:sz="4" w:space="0"/>
              <w:right w:val="single" w:color="auto" w:sz="4" w:space="0"/>
            </w:tcBorders>
            <w:shd w:val="clear" w:color="auto" w:fill="auto"/>
            <w:vAlign w:val="center"/>
          </w:tcPr>
          <w:p w14:paraId="45FC4C20">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12</w:t>
            </w:r>
          </w:p>
        </w:tc>
        <w:tc>
          <w:tcPr>
            <w:tcW w:w="1180" w:type="dxa"/>
            <w:tcBorders>
              <w:top w:val="nil"/>
              <w:left w:val="nil"/>
              <w:bottom w:val="single" w:color="auto" w:sz="4" w:space="0"/>
              <w:right w:val="single" w:color="auto" w:sz="4" w:space="0"/>
            </w:tcBorders>
            <w:shd w:val="clear" w:color="auto" w:fill="auto"/>
            <w:vAlign w:val="center"/>
          </w:tcPr>
          <w:p w14:paraId="0C9D707D">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8</w:t>
            </w:r>
          </w:p>
        </w:tc>
        <w:tc>
          <w:tcPr>
            <w:tcW w:w="1180" w:type="dxa"/>
            <w:vMerge w:val="continue"/>
            <w:tcBorders>
              <w:top w:val="nil"/>
              <w:left w:val="single" w:color="auto" w:sz="4" w:space="0"/>
              <w:bottom w:val="single" w:color="auto" w:sz="4" w:space="0"/>
              <w:right w:val="single" w:color="auto" w:sz="4" w:space="0"/>
            </w:tcBorders>
            <w:vAlign w:val="center"/>
          </w:tcPr>
          <w:p w14:paraId="6036F1FA">
            <w:pPr>
              <w:widowControl/>
              <w:spacing w:line="570" w:lineRule="exact"/>
              <w:jc w:val="left"/>
              <w:rPr>
                <w:rFonts w:ascii="宋体" w:hAnsi="宋体" w:eastAsia="宋体" w:cs="Times New Roman"/>
                <w:color w:val="000000"/>
                <w:kern w:val="0"/>
                <w:szCs w:val="21"/>
              </w:rPr>
            </w:pPr>
          </w:p>
        </w:tc>
        <w:tc>
          <w:tcPr>
            <w:tcW w:w="2901" w:type="dxa"/>
            <w:vMerge w:val="continue"/>
            <w:tcBorders>
              <w:top w:val="single" w:color="auto" w:sz="4" w:space="0"/>
              <w:left w:val="single" w:color="auto" w:sz="4" w:space="0"/>
              <w:bottom w:val="single" w:color="auto" w:sz="4" w:space="0"/>
              <w:right w:val="single" w:color="auto" w:sz="4" w:space="0"/>
            </w:tcBorders>
            <w:vAlign w:val="center"/>
          </w:tcPr>
          <w:p w14:paraId="32C7BF1F">
            <w:pPr>
              <w:widowControl/>
              <w:spacing w:line="570" w:lineRule="exact"/>
              <w:jc w:val="left"/>
              <w:rPr>
                <w:rFonts w:ascii="宋体" w:hAnsi="宋体" w:eastAsia="宋体" w:cs="宋体"/>
                <w:color w:val="000000"/>
                <w:kern w:val="0"/>
                <w:szCs w:val="21"/>
              </w:rPr>
            </w:pPr>
          </w:p>
        </w:tc>
      </w:tr>
      <w:tr w14:paraId="1F864BBB">
        <w:tblPrEx>
          <w:tblCellMar>
            <w:top w:w="0" w:type="dxa"/>
            <w:left w:w="108" w:type="dxa"/>
            <w:bottom w:w="0" w:type="dxa"/>
            <w:right w:w="108" w:type="dxa"/>
          </w:tblCellMar>
        </w:tblPrEx>
        <w:trPr>
          <w:trHeight w:val="1134" w:hRule="exact"/>
          <w:jc w:val="center"/>
        </w:trPr>
        <w:tc>
          <w:tcPr>
            <w:tcW w:w="700" w:type="dxa"/>
            <w:vMerge w:val="restart"/>
            <w:tcBorders>
              <w:top w:val="nil"/>
              <w:left w:val="single" w:color="auto" w:sz="4" w:space="0"/>
              <w:bottom w:val="nil"/>
              <w:right w:val="single" w:color="auto" w:sz="4" w:space="0"/>
            </w:tcBorders>
            <w:shd w:val="clear" w:color="auto" w:fill="auto"/>
            <w:vAlign w:val="center"/>
          </w:tcPr>
          <w:p w14:paraId="6CBDCC8D">
            <w:pPr>
              <w:widowControl/>
              <w:spacing w:line="57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科</w:t>
            </w:r>
            <w:r>
              <w:rPr>
                <w:rFonts w:hint="eastAsia" w:ascii="宋体" w:hAnsi="宋体" w:eastAsia="宋体" w:cs="宋体"/>
                <w:color w:val="000000"/>
                <w:kern w:val="0"/>
                <w:sz w:val="22"/>
                <w:szCs w:val="22"/>
              </w:rPr>
              <w:br w:type="textWrapping"/>
            </w:r>
          </w:p>
          <w:p w14:paraId="2A4C024B">
            <w:pPr>
              <w:widowControl/>
              <w:spacing w:line="57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研</w:t>
            </w:r>
            <w:r>
              <w:rPr>
                <w:rFonts w:hint="eastAsia" w:ascii="宋体" w:hAnsi="宋体" w:eastAsia="宋体" w:cs="宋体"/>
                <w:color w:val="000000"/>
                <w:kern w:val="0"/>
                <w:sz w:val="22"/>
                <w:szCs w:val="22"/>
              </w:rPr>
              <w:br w:type="textWrapping"/>
            </w:r>
          </w:p>
          <w:p w14:paraId="76E8E01C">
            <w:pPr>
              <w:widowControl/>
              <w:spacing w:line="57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成</w:t>
            </w:r>
            <w:r>
              <w:rPr>
                <w:rFonts w:hint="eastAsia" w:ascii="宋体" w:hAnsi="宋体" w:eastAsia="宋体" w:cs="宋体"/>
                <w:color w:val="000000"/>
                <w:kern w:val="0"/>
                <w:sz w:val="22"/>
                <w:szCs w:val="22"/>
              </w:rPr>
              <w:br w:type="textWrapping"/>
            </w:r>
          </w:p>
          <w:p w14:paraId="2B138E73">
            <w:pPr>
              <w:widowControl/>
              <w:spacing w:line="57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果</w:t>
            </w:r>
          </w:p>
        </w:tc>
        <w:tc>
          <w:tcPr>
            <w:tcW w:w="5420"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243C0742">
            <w:pPr>
              <w:widowControl/>
              <w:spacing w:line="570" w:lineRule="exact"/>
              <w:jc w:val="left"/>
              <w:rPr>
                <w:rFonts w:ascii="宋体" w:hAnsi="宋体" w:eastAsia="宋体" w:cs="Times New Roman"/>
                <w:color w:val="000000"/>
                <w:kern w:val="0"/>
                <w:szCs w:val="21"/>
              </w:rPr>
            </w:pPr>
            <w:r>
              <w:rPr>
                <w:rFonts w:ascii="宋体" w:hAnsi="宋体" w:eastAsia="宋体" w:cs="Times New Roman"/>
                <w:color w:val="000000"/>
                <w:kern w:val="0"/>
                <w:szCs w:val="21"/>
              </w:rPr>
              <w:t>1</w:t>
            </w:r>
            <w:r>
              <w:rPr>
                <w:rFonts w:ascii="宋体" w:hAnsi="宋体" w:eastAsia="宋体" w:cs="Times New Roman"/>
                <w:color w:val="000000"/>
                <w:kern w:val="0"/>
                <w:szCs w:val="21"/>
              </w:rPr>
              <w:br w:type="textWrapping"/>
            </w:r>
            <w:r>
              <w:rPr>
                <w:rFonts w:hint="eastAsia" w:ascii="宋体" w:hAnsi="宋体" w:eastAsia="宋体" w:cs="Times New Roman"/>
                <w:color w:val="000000"/>
                <w:kern w:val="0"/>
                <w:szCs w:val="21"/>
              </w:rPr>
              <w:t xml:space="preserve">                                    自评分数：</w:t>
            </w:r>
          </w:p>
        </w:tc>
        <w:tc>
          <w:tcPr>
            <w:tcW w:w="1180" w:type="dxa"/>
            <w:tcBorders>
              <w:top w:val="nil"/>
              <w:left w:val="single" w:color="auto" w:sz="4" w:space="0"/>
              <w:bottom w:val="single" w:color="auto" w:sz="4" w:space="0"/>
              <w:right w:val="single" w:color="auto" w:sz="4" w:space="0"/>
            </w:tcBorders>
            <w:shd w:val="clear" w:color="auto" w:fill="auto"/>
            <w:vAlign w:val="center"/>
          </w:tcPr>
          <w:p w14:paraId="1EF92820">
            <w:pPr>
              <w:widowControl/>
              <w:spacing w:line="57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01" w:type="dxa"/>
            <w:vMerge w:val="restart"/>
            <w:tcBorders>
              <w:top w:val="single" w:color="auto" w:sz="4" w:space="0"/>
              <w:left w:val="single" w:color="auto" w:sz="4" w:space="0"/>
              <w:right w:val="single" w:color="auto" w:sz="4" w:space="0"/>
            </w:tcBorders>
            <w:shd w:val="clear" w:color="auto" w:fill="auto"/>
            <w:vAlign w:val="center"/>
          </w:tcPr>
          <w:p w14:paraId="0331D90B">
            <w:pPr>
              <w:widowControl/>
              <w:spacing w:after="240" w:line="57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学位点负责人签名：</w:t>
            </w:r>
          </w:p>
        </w:tc>
      </w:tr>
      <w:tr w14:paraId="55D4966F">
        <w:tblPrEx>
          <w:tblCellMar>
            <w:top w:w="0" w:type="dxa"/>
            <w:left w:w="108" w:type="dxa"/>
            <w:bottom w:w="0" w:type="dxa"/>
            <w:right w:w="108" w:type="dxa"/>
          </w:tblCellMar>
        </w:tblPrEx>
        <w:trPr>
          <w:trHeight w:val="1134" w:hRule="exact"/>
          <w:jc w:val="center"/>
        </w:trPr>
        <w:tc>
          <w:tcPr>
            <w:tcW w:w="700" w:type="dxa"/>
            <w:vMerge w:val="continue"/>
            <w:tcBorders>
              <w:left w:val="single" w:color="auto" w:sz="4" w:space="0"/>
              <w:right w:val="single" w:color="auto" w:sz="4" w:space="0"/>
            </w:tcBorders>
            <w:vAlign w:val="center"/>
          </w:tcPr>
          <w:p w14:paraId="7C04B667">
            <w:pPr>
              <w:widowControl/>
              <w:spacing w:line="570" w:lineRule="exact"/>
              <w:jc w:val="left"/>
              <w:rPr>
                <w:rFonts w:ascii="宋体" w:hAnsi="宋体" w:eastAsia="宋体" w:cs="宋体"/>
                <w:color w:val="000000"/>
                <w:kern w:val="0"/>
                <w:sz w:val="22"/>
                <w:szCs w:val="22"/>
              </w:rPr>
            </w:pPr>
          </w:p>
        </w:tc>
        <w:tc>
          <w:tcPr>
            <w:tcW w:w="5420"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428C5249">
            <w:pPr>
              <w:widowControl/>
              <w:spacing w:line="570" w:lineRule="exact"/>
              <w:jc w:val="left"/>
              <w:rPr>
                <w:rFonts w:ascii="宋体" w:hAnsi="宋体" w:eastAsia="宋体" w:cs="Times New Roman"/>
                <w:color w:val="000000"/>
                <w:kern w:val="0"/>
                <w:szCs w:val="21"/>
              </w:rPr>
            </w:pPr>
            <w:r>
              <w:rPr>
                <w:rFonts w:ascii="宋体" w:hAnsi="宋体" w:eastAsia="宋体" w:cs="Times New Roman"/>
                <w:color w:val="000000"/>
                <w:kern w:val="0"/>
                <w:szCs w:val="21"/>
              </w:rPr>
              <w:t>2</w:t>
            </w:r>
            <w:r>
              <w:rPr>
                <w:rFonts w:ascii="宋体" w:hAnsi="宋体" w:eastAsia="宋体" w:cs="Times New Roman"/>
                <w:color w:val="000000"/>
                <w:kern w:val="0"/>
                <w:szCs w:val="21"/>
              </w:rPr>
              <w:br w:type="textWrapping"/>
            </w:r>
            <w:r>
              <w:rPr>
                <w:rFonts w:hint="eastAsia" w:ascii="宋体" w:hAnsi="宋体" w:eastAsia="宋体" w:cs="Times New Roman"/>
                <w:color w:val="000000"/>
                <w:kern w:val="0"/>
                <w:szCs w:val="21"/>
              </w:rPr>
              <w:t xml:space="preserve">                                    自评分数：</w:t>
            </w:r>
          </w:p>
        </w:tc>
        <w:tc>
          <w:tcPr>
            <w:tcW w:w="1180" w:type="dxa"/>
            <w:tcBorders>
              <w:top w:val="nil"/>
              <w:left w:val="single" w:color="auto" w:sz="4" w:space="0"/>
              <w:bottom w:val="single" w:color="auto" w:sz="4" w:space="0"/>
              <w:right w:val="single" w:color="auto" w:sz="4" w:space="0"/>
            </w:tcBorders>
            <w:shd w:val="clear" w:color="auto" w:fill="auto"/>
            <w:vAlign w:val="center"/>
          </w:tcPr>
          <w:p w14:paraId="3ECF6CAC">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　</w:t>
            </w:r>
          </w:p>
        </w:tc>
        <w:tc>
          <w:tcPr>
            <w:tcW w:w="2901" w:type="dxa"/>
            <w:vMerge w:val="continue"/>
            <w:tcBorders>
              <w:left w:val="single" w:color="auto" w:sz="4" w:space="0"/>
              <w:right w:val="single" w:color="auto" w:sz="4" w:space="0"/>
            </w:tcBorders>
            <w:shd w:val="clear" w:color="auto" w:fill="auto"/>
            <w:vAlign w:val="center"/>
          </w:tcPr>
          <w:p w14:paraId="17F7D661">
            <w:pPr>
              <w:widowControl/>
              <w:spacing w:line="570" w:lineRule="exact"/>
              <w:jc w:val="left"/>
              <w:rPr>
                <w:rFonts w:ascii="宋体" w:hAnsi="宋体" w:eastAsia="宋体" w:cs="宋体"/>
                <w:color w:val="000000"/>
                <w:kern w:val="0"/>
                <w:szCs w:val="21"/>
              </w:rPr>
            </w:pPr>
          </w:p>
        </w:tc>
      </w:tr>
      <w:tr w14:paraId="1BDCA412">
        <w:tblPrEx>
          <w:tblCellMar>
            <w:top w:w="0" w:type="dxa"/>
            <w:left w:w="108" w:type="dxa"/>
            <w:bottom w:w="0" w:type="dxa"/>
            <w:right w:w="108" w:type="dxa"/>
          </w:tblCellMar>
        </w:tblPrEx>
        <w:trPr>
          <w:trHeight w:val="1134" w:hRule="exact"/>
          <w:jc w:val="center"/>
        </w:trPr>
        <w:tc>
          <w:tcPr>
            <w:tcW w:w="700" w:type="dxa"/>
            <w:vMerge w:val="continue"/>
            <w:tcBorders>
              <w:left w:val="single" w:color="auto" w:sz="4" w:space="0"/>
              <w:right w:val="single" w:color="auto" w:sz="4" w:space="0"/>
            </w:tcBorders>
            <w:vAlign w:val="center"/>
          </w:tcPr>
          <w:p w14:paraId="48538BF8">
            <w:pPr>
              <w:widowControl/>
              <w:spacing w:line="570" w:lineRule="exact"/>
              <w:jc w:val="left"/>
              <w:rPr>
                <w:rFonts w:ascii="宋体" w:hAnsi="宋体" w:eastAsia="宋体" w:cs="宋体"/>
                <w:color w:val="000000"/>
                <w:kern w:val="0"/>
                <w:sz w:val="22"/>
                <w:szCs w:val="22"/>
              </w:rPr>
            </w:pPr>
          </w:p>
        </w:tc>
        <w:tc>
          <w:tcPr>
            <w:tcW w:w="5420"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734E700E">
            <w:pPr>
              <w:widowControl/>
              <w:spacing w:line="570" w:lineRule="exact"/>
              <w:jc w:val="left"/>
              <w:rPr>
                <w:rFonts w:ascii="宋体" w:hAnsi="宋体" w:eastAsia="宋体" w:cs="Times New Roman"/>
                <w:color w:val="000000"/>
                <w:kern w:val="0"/>
                <w:szCs w:val="21"/>
              </w:rPr>
            </w:pPr>
            <w:r>
              <w:rPr>
                <w:rFonts w:ascii="宋体" w:hAnsi="宋体" w:eastAsia="宋体" w:cs="Times New Roman"/>
                <w:color w:val="000000"/>
                <w:kern w:val="0"/>
                <w:szCs w:val="21"/>
              </w:rPr>
              <w:t>3</w:t>
            </w:r>
            <w:r>
              <w:rPr>
                <w:rFonts w:ascii="宋体" w:hAnsi="宋体" w:eastAsia="宋体" w:cs="Times New Roman"/>
                <w:color w:val="000000"/>
                <w:kern w:val="0"/>
                <w:szCs w:val="21"/>
              </w:rPr>
              <w:br w:type="textWrapping"/>
            </w:r>
            <w:r>
              <w:rPr>
                <w:rFonts w:hint="eastAsia" w:ascii="宋体" w:hAnsi="宋体" w:eastAsia="宋体" w:cs="Times New Roman"/>
                <w:color w:val="000000"/>
                <w:kern w:val="0"/>
                <w:szCs w:val="21"/>
              </w:rPr>
              <w:t xml:space="preserve">                                    自评分数：</w:t>
            </w:r>
          </w:p>
        </w:tc>
        <w:tc>
          <w:tcPr>
            <w:tcW w:w="1180" w:type="dxa"/>
            <w:tcBorders>
              <w:top w:val="nil"/>
              <w:left w:val="single" w:color="auto" w:sz="4" w:space="0"/>
              <w:bottom w:val="single" w:color="auto" w:sz="4" w:space="0"/>
              <w:right w:val="single" w:color="auto" w:sz="4" w:space="0"/>
            </w:tcBorders>
            <w:shd w:val="clear" w:color="auto" w:fill="auto"/>
            <w:vAlign w:val="center"/>
          </w:tcPr>
          <w:p w14:paraId="18CF0127">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　</w:t>
            </w:r>
          </w:p>
        </w:tc>
        <w:tc>
          <w:tcPr>
            <w:tcW w:w="2901" w:type="dxa"/>
            <w:vMerge w:val="continue"/>
            <w:tcBorders>
              <w:left w:val="single" w:color="auto" w:sz="4" w:space="0"/>
              <w:right w:val="single" w:color="auto" w:sz="4" w:space="0"/>
            </w:tcBorders>
            <w:shd w:val="clear" w:color="auto" w:fill="auto"/>
            <w:vAlign w:val="center"/>
          </w:tcPr>
          <w:p w14:paraId="03E32EF5">
            <w:pPr>
              <w:widowControl/>
              <w:spacing w:line="570" w:lineRule="exact"/>
              <w:jc w:val="left"/>
              <w:rPr>
                <w:rFonts w:ascii="宋体" w:hAnsi="宋体" w:eastAsia="宋体" w:cs="宋体"/>
                <w:color w:val="000000"/>
                <w:kern w:val="0"/>
                <w:szCs w:val="21"/>
              </w:rPr>
            </w:pPr>
          </w:p>
        </w:tc>
      </w:tr>
      <w:tr w14:paraId="3A0FAE28">
        <w:tblPrEx>
          <w:tblCellMar>
            <w:top w:w="0" w:type="dxa"/>
            <w:left w:w="108" w:type="dxa"/>
            <w:bottom w:w="0" w:type="dxa"/>
            <w:right w:w="108" w:type="dxa"/>
          </w:tblCellMar>
        </w:tblPrEx>
        <w:trPr>
          <w:trHeight w:val="1134" w:hRule="exact"/>
          <w:jc w:val="center"/>
        </w:trPr>
        <w:tc>
          <w:tcPr>
            <w:tcW w:w="700" w:type="dxa"/>
            <w:vMerge w:val="continue"/>
            <w:tcBorders>
              <w:left w:val="single" w:color="auto" w:sz="4" w:space="0"/>
              <w:right w:val="single" w:color="auto" w:sz="4" w:space="0"/>
            </w:tcBorders>
            <w:vAlign w:val="center"/>
          </w:tcPr>
          <w:p w14:paraId="579D0852">
            <w:pPr>
              <w:widowControl/>
              <w:spacing w:line="570" w:lineRule="exact"/>
              <w:jc w:val="left"/>
              <w:rPr>
                <w:rFonts w:ascii="宋体" w:hAnsi="宋体" w:eastAsia="宋体" w:cs="宋体"/>
                <w:color w:val="000000"/>
                <w:kern w:val="0"/>
                <w:sz w:val="22"/>
                <w:szCs w:val="22"/>
              </w:rPr>
            </w:pPr>
          </w:p>
        </w:tc>
        <w:tc>
          <w:tcPr>
            <w:tcW w:w="5420"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61ADA341">
            <w:pPr>
              <w:widowControl/>
              <w:spacing w:line="570" w:lineRule="exact"/>
              <w:jc w:val="left"/>
              <w:rPr>
                <w:rFonts w:ascii="宋体" w:hAnsi="宋体" w:eastAsia="宋体" w:cs="Times New Roman"/>
                <w:color w:val="000000"/>
                <w:kern w:val="0"/>
                <w:szCs w:val="21"/>
              </w:rPr>
            </w:pPr>
            <w:r>
              <w:rPr>
                <w:rFonts w:ascii="宋体" w:hAnsi="宋体" w:eastAsia="宋体" w:cs="Times New Roman"/>
                <w:color w:val="000000"/>
                <w:kern w:val="0"/>
                <w:szCs w:val="21"/>
              </w:rPr>
              <w:t>4</w:t>
            </w:r>
            <w:r>
              <w:rPr>
                <w:rFonts w:ascii="宋体" w:hAnsi="宋体" w:eastAsia="宋体" w:cs="Times New Roman"/>
                <w:color w:val="000000"/>
                <w:kern w:val="0"/>
                <w:szCs w:val="21"/>
              </w:rPr>
              <w:br w:type="textWrapping"/>
            </w:r>
            <w:r>
              <w:rPr>
                <w:rFonts w:hint="eastAsia" w:ascii="宋体" w:hAnsi="宋体" w:eastAsia="宋体" w:cs="Times New Roman"/>
                <w:color w:val="000000"/>
                <w:kern w:val="0"/>
                <w:szCs w:val="21"/>
              </w:rPr>
              <w:t xml:space="preserve">                                    自评分数：</w:t>
            </w:r>
          </w:p>
        </w:tc>
        <w:tc>
          <w:tcPr>
            <w:tcW w:w="1180" w:type="dxa"/>
            <w:tcBorders>
              <w:top w:val="nil"/>
              <w:left w:val="single" w:color="auto" w:sz="4" w:space="0"/>
              <w:bottom w:val="single" w:color="auto" w:sz="4" w:space="0"/>
              <w:right w:val="single" w:color="auto" w:sz="4" w:space="0"/>
            </w:tcBorders>
            <w:shd w:val="clear" w:color="auto" w:fill="auto"/>
            <w:vAlign w:val="center"/>
          </w:tcPr>
          <w:p w14:paraId="7A813222">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　</w:t>
            </w:r>
          </w:p>
        </w:tc>
        <w:tc>
          <w:tcPr>
            <w:tcW w:w="2901" w:type="dxa"/>
            <w:vMerge w:val="continue"/>
            <w:tcBorders>
              <w:left w:val="single" w:color="auto" w:sz="4" w:space="0"/>
              <w:right w:val="single" w:color="auto" w:sz="4" w:space="0"/>
            </w:tcBorders>
            <w:shd w:val="clear" w:color="auto" w:fill="auto"/>
            <w:vAlign w:val="center"/>
          </w:tcPr>
          <w:p w14:paraId="0E5C12CD">
            <w:pPr>
              <w:widowControl/>
              <w:spacing w:line="570" w:lineRule="exact"/>
              <w:jc w:val="left"/>
              <w:rPr>
                <w:rFonts w:ascii="宋体" w:hAnsi="宋体" w:eastAsia="宋体" w:cs="宋体"/>
                <w:color w:val="000000"/>
                <w:kern w:val="0"/>
                <w:szCs w:val="21"/>
              </w:rPr>
            </w:pPr>
          </w:p>
        </w:tc>
      </w:tr>
      <w:tr w14:paraId="0F3CC30C">
        <w:tblPrEx>
          <w:tblCellMar>
            <w:top w:w="0" w:type="dxa"/>
            <w:left w:w="108" w:type="dxa"/>
            <w:bottom w:w="0" w:type="dxa"/>
            <w:right w:w="108" w:type="dxa"/>
          </w:tblCellMar>
        </w:tblPrEx>
        <w:trPr>
          <w:trHeight w:val="1134" w:hRule="exact"/>
          <w:jc w:val="center"/>
        </w:trPr>
        <w:tc>
          <w:tcPr>
            <w:tcW w:w="700" w:type="dxa"/>
            <w:vMerge w:val="continue"/>
            <w:tcBorders>
              <w:left w:val="single" w:color="auto" w:sz="4" w:space="0"/>
              <w:right w:val="single" w:color="auto" w:sz="4" w:space="0"/>
            </w:tcBorders>
            <w:vAlign w:val="center"/>
          </w:tcPr>
          <w:p w14:paraId="709BE02D">
            <w:pPr>
              <w:widowControl/>
              <w:spacing w:line="570" w:lineRule="exact"/>
              <w:jc w:val="left"/>
              <w:rPr>
                <w:rFonts w:ascii="宋体" w:hAnsi="宋体" w:eastAsia="宋体" w:cs="宋体"/>
                <w:color w:val="000000"/>
                <w:kern w:val="0"/>
                <w:sz w:val="22"/>
                <w:szCs w:val="22"/>
              </w:rPr>
            </w:pPr>
          </w:p>
        </w:tc>
        <w:tc>
          <w:tcPr>
            <w:tcW w:w="5420"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1A37C132">
            <w:pPr>
              <w:widowControl/>
              <w:spacing w:line="570" w:lineRule="exact"/>
              <w:jc w:val="left"/>
              <w:rPr>
                <w:rFonts w:ascii="宋体" w:hAnsi="宋体" w:eastAsia="宋体" w:cs="Times New Roman"/>
                <w:color w:val="000000"/>
                <w:kern w:val="0"/>
                <w:szCs w:val="21"/>
              </w:rPr>
            </w:pPr>
            <w:r>
              <w:rPr>
                <w:rFonts w:ascii="宋体" w:hAnsi="宋体" w:eastAsia="宋体" w:cs="Times New Roman"/>
                <w:color w:val="000000"/>
                <w:kern w:val="0"/>
                <w:szCs w:val="21"/>
              </w:rPr>
              <w:t>5</w:t>
            </w:r>
            <w:r>
              <w:rPr>
                <w:rFonts w:ascii="宋体" w:hAnsi="宋体" w:eastAsia="宋体" w:cs="Times New Roman"/>
                <w:color w:val="000000"/>
                <w:kern w:val="0"/>
                <w:szCs w:val="21"/>
              </w:rPr>
              <w:br w:type="textWrapping"/>
            </w:r>
            <w:r>
              <w:rPr>
                <w:rFonts w:hint="eastAsia" w:ascii="宋体" w:hAnsi="宋体" w:eastAsia="宋体" w:cs="Times New Roman"/>
                <w:color w:val="000000"/>
                <w:kern w:val="0"/>
                <w:szCs w:val="21"/>
              </w:rPr>
              <w:t xml:space="preserve">                                    自评分数：</w:t>
            </w:r>
          </w:p>
        </w:tc>
        <w:tc>
          <w:tcPr>
            <w:tcW w:w="1180" w:type="dxa"/>
            <w:tcBorders>
              <w:top w:val="nil"/>
              <w:left w:val="single" w:color="auto" w:sz="4" w:space="0"/>
              <w:bottom w:val="single" w:color="auto" w:sz="4" w:space="0"/>
              <w:right w:val="single" w:color="auto" w:sz="4" w:space="0"/>
            </w:tcBorders>
            <w:shd w:val="clear" w:color="auto" w:fill="auto"/>
            <w:vAlign w:val="center"/>
          </w:tcPr>
          <w:p w14:paraId="66DA0583">
            <w:pPr>
              <w:widowControl/>
              <w:spacing w:line="570" w:lineRule="exact"/>
              <w:jc w:val="center"/>
              <w:rPr>
                <w:rFonts w:ascii="宋体" w:hAnsi="宋体" w:eastAsia="宋体" w:cs="Times New Roman"/>
                <w:color w:val="000000"/>
                <w:kern w:val="0"/>
                <w:szCs w:val="21"/>
              </w:rPr>
            </w:pPr>
            <w:r>
              <w:rPr>
                <w:rFonts w:ascii="宋体" w:hAnsi="宋体" w:eastAsia="宋体" w:cs="Times New Roman"/>
                <w:color w:val="000000"/>
                <w:kern w:val="0"/>
                <w:szCs w:val="21"/>
              </w:rPr>
              <w:t>　</w:t>
            </w:r>
          </w:p>
        </w:tc>
        <w:tc>
          <w:tcPr>
            <w:tcW w:w="2901" w:type="dxa"/>
            <w:vMerge w:val="continue"/>
            <w:tcBorders>
              <w:left w:val="single" w:color="auto" w:sz="4" w:space="0"/>
              <w:right w:val="single" w:color="auto" w:sz="4" w:space="0"/>
            </w:tcBorders>
            <w:vAlign w:val="center"/>
          </w:tcPr>
          <w:p w14:paraId="3CC05425">
            <w:pPr>
              <w:widowControl/>
              <w:spacing w:line="570" w:lineRule="exact"/>
              <w:jc w:val="left"/>
              <w:rPr>
                <w:rFonts w:ascii="宋体" w:hAnsi="宋体" w:eastAsia="宋体" w:cs="宋体"/>
                <w:color w:val="000000"/>
                <w:kern w:val="0"/>
                <w:szCs w:val="21"/>
              </w:rPr>
            </w:pPr>
          </w:p>
        </w:tc>
      </w:tr>
      <w:tr w14:paraId="6E3F6927">
        <w:tblPrEx>
          <w:tblCellMar>
            <w:top w:w="0" w:type="dxa"/>
            <w:left w:w="108" w:type="dxa"/>
            <w:bottom w:w="0" w:type="dxa"/>
            <w:right w:w="108" w:type="dxa"/>
          </w:tblCellMar>
        </w:tblPrEx>
        <w:trPr>
          <w:trHeight w:val="1134" w:hRule="exact"/>
          <w:jc w:val="center"/>
        </w:trPr>
        <w:tc>
          <w:tcPr>
            <w:tcW w:w="700" w:type="dxa"/>
            <w:vMerge w:val="continue"/>
            <w:tcBorders>
              <w:left w:val="single" w:color="auto" w:sz="4" w:space="0"/>
              <w:bottom w:val="single" w:color="000000" w:sz="4" w:space="0"/>
              <w:right w:val="single" w:color="auto" w:sz="4" w:space="0"/>
            </w:tcBorders>
            <w:vAlign w:val="center"/>
          </w:tcPr>
          <w:p w14:paraId="7F579861">
            <w:pPr>
              <w:widowControl/>
              <w:spacing w:line="570" w:lineRule="exact"/>
              <w:jc w:val="left"/>
              <w:rPr>
                <w:rFonts w:ascii="宋体" w:hAnsi="宋体" w:eastAsia="宋体" w:cs="宋体"/>
                <w:color w:val="000000"/>
                <w:kern w:val="0"/>
                <w:sz w:val="22"/>
                <w:szCs w:val="22"/>
              </w:rPr>
            </w:pPr>
          </w:p>
        </w:tc>
        <w:tc>
          <w:tcPr>
            <w:tcW w:w="5420"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417E23DD">
            <w:pPr>
              <w:widowControl/>
              <w:spacing w:line="570" w:lineRule="exact"/>
              <w:jc w:val="left"/>
              <w:rPr>
                <w:rFonts w:ascii="宋体" w:hAnsi="宋体" w:eastAsia="宋体" w:cs="Times New Roman"/>
                <w:color w:val="000000"/>
                <w:kern w:val="0"/>
                <w:szCs w:val="21"/>
              </w:rPr>
            </w:pPr>
            <w:r>
              <w:rPr>
                <w:rFonts w:ascii="宋体" w:hAnsi="宋体" w:eastAsia="宋体" w:cs="Times New Roman"/>
                <w:color w:val="000000"/>
                <w:kern w:val="0"/>
                <w:szCs w:val="21"/>
              </w:rPr>
              <w:t>6</w:t>
            </w:r>
            <w:r>
              <w:rPr>
                <w:rFonts w:ascii="宋体" w:hAnsi="宋体" w:eastAsia="宋体" w:cs="Times New Roman"/>
                <w:color w:val="000000"/>
                <w:kern w:val="0"/>
                <w:szCs w:val="21"/>
              </w:rPr>
              <w:br w:type="textWrapping"/>
            </w:r>
            <w:r>
              <w:rPr>
                <w:rFonts w:hint="eastAsia" w:ascii="宋体" w:hAnsi="宋体" w:eastAsia="宋体" w:cs="Times New Roman"/>
                <w:color w:val="000000"/>
                <w:kern w:val="0"/>
                <w:szCs w:val="21"/>
              </w:rPr>
              <w:t xml:space="preserve">                                    自评分数：</w:t>
            </w:r>
          </w:p>
        </w:tc>
        <w:tc>
          <w:tcPr>
            <w:tcW w:w="1180" w:type="dxa"/>
            <w:tcBorders>
              <w:top w:val="nil"/>
              <w:left w:val="single" w:color="auto" w:sz="4" w:space="0"/>
              <w:bottom w:val="single" w:color="auto" w:sz="4" w:space="0"/>
              <w:right w:val="single" w:color="auto" w:sz="4" w:space="0"/>
            </w:tcBorders>
            <w:shd w:val="clear" w:color="auto" w:fill="auto"/>
            <w:vAlign w:val="center"/>
          </w:tcPr>
          <w:p w14:paraId="637D0260">
            <w:pPr>
              <w:widowControl/>
              <w:spacing w:line="570" w:lineRule="exact"/>
              <w:jc w:val="center"/>
              <w:rPr>
                <w:rFonts w:ascii="宋体" w:hAnsi="宋体" w:eastAsia="宋体" w:cs="Times New Roman"/>
                <w:color w:val="000000"/>
                <w:kern w:val="0"/>
                <w:szCs w:val="21"/>
              </w:rPr>
            </w:pPr>
          </w:p>
        </w:tc>
        <w:tc>
          <w:tcPr>
            <w:tcW w:w="2901" w:type="dxa"/>
            <w:vMerge w:val="continue"/>
            <w:tcBorders>
              <w:left w:val="single" w:color="auto" w:sz="4" w:space="0"/>
              <w:bottom w:val="nil"/>
              <w:right w:val="single" w:color="auto" w:sz="4" w:space="0"/>
            </w:tcBorders>
            <w:vAlign w:val="center"/>
          </w:tcPr>
          <w:p w14:paraId="6FF54753">
            <w:pPr>
              <w:widowControl/>
              <w:spacing w:line="570" w:lineRule="exact"/>
              <w:jc w:val="left"/>
              <w:rPr>
                <w:rFonts w:ascii="宋体" w:hAnsi="宋体" w:eastAsia="宋体" w:cs="宋体"/>
                <w:color w:val="000000"/>
                <w:kern w:val="0"/>
                <w:szCs w:val="21"/>
              </w:rPr>
            </w:pPr>
          </w:p>
        </w:tc>
      </w:tr>
      <w:tr w14:paraId="38CB6AC6">
        <w:tblPrEx>
          <w:tblCellMar>
            <w:top w:w="0" w:type="dxa"/>
            <w:left w:w="108" w:type="dxa"/>
            <w:bottom w:w="0" w:type="dxa"/>
            <w:right w:w="108" w:type="dxa"/>
          </w:tblCellMar>
        </w:tblPrEx>
        <w:trPr>
          <w:trHeight w:val="580" w:hRule="atLeast"/>
          <w:jc w:val="center"/>
        </w:trPr>
        <w:tc>
          <w:tcPr>
            <w:tcW w:w="6120" w:type="dxa"/>
            <w:gridSpan w:val="6"/>
            <w:tcBorders>
              <w:left w:val="single" w:color="auto" w:sz="4" w:space="0"/>
              <w:bottom w:val="single" w:color="auto" w:sz="4" w:space="0"/>
              <w:right w:val="single" w:color="auto" w:sz="4" w:space="0"/>
            </w:tcBorders>
            <w:shd w:val="clear" w:color="auto" w:fill="auto"/>
            <w:vAlign w:val="center"/>
          </w:tcPr>
          <w:p w14:paraId="1474B16F">
            <w:pPr>
              <w:spacing w:line="570" w:lineRule="exact"/>
              <w:ind w:left="-113" w:leftChars="-54" w:firstLine="2"/>
              <w:jc w:val="center"/>
              <w:rPr>
                <w:rFonts w:ascii="宋体" w:hAnsi="宋体" w:eastAsia="宋体" w:cs="宋体"/>
                <w:color w:val="000000"/>
                <w:kern w:val="0"/>
                <w:szCs w:val="21"/>
              </w:rPr>
            </w:pPr>
            <w:r>
              <w:rPr>
                <w:rFonts w:hint="eastAsia" w:ascii="宋体" w:hAnsi="宋体" w:eastAsia="宋体" w:cs="宋体"/>
                <w:b/>
                <w:bCs/>
                <w:color w:val="000000"/>
                <w:kern w:val="0"/>
                <w:sz w:val="22"/>
                <w:szCs w:val="22"/>
              </w:rPr>
              <w:t xml:space="preserve">合 </w:t>
            </w:r>
            <w:r>
              <w:rPr>
                <w:rFonts w:ascii="宋体" w:hAnsi="宋体" w:eastAsia="宋体" w:cs="宋体"/>
                <w:b/>
                <w:bCs/>
                <w:color w:val="000000"/>
                <w:kern w:val="0"/>
                <w:sz w:val="22"/>
                <w:szCs w:val="22"/>
              </w:rPr>
              <w:t xml:space="preserve">       </w:t>
            </w:r>
            <w:r>
              <w:rPr>
                <w:rFonts w:hint="eastAsia" w:ascii="宋体" w:hAnsi="宋体" w:eastAsia="宋体" w:cs="宋体"/>
                <w:b/>
                <w:bCs/>
                <w:color w:val="000000"/>
                <w:kern w:val="0"/>
                <w:sz w:val="22"/>
                <w:szCs w:val="22"/>
              </w:rPr>
              <w:t>计</w:t>
            </w:r>
          </w:p>
        </w:tc>
        <w:tc>
          <w:tcPr>
            <w:tcW w:w="1180" w:type="dxa"/>
            <w:tcBorders>
              <w:top w:val="nil"/>
              <w:left w:val="single" w:color="auto" w:sz="4" w:space="0"/>
              <w:bottom w:val="single" w:color="auto" w:sz="4" w:space="0"/>
              <w:right w:val="single" w:color="auto" w:sz="4" w:space="0"/>
            </w:tcBorders>
            <w:shd w:val="clear" w:color="auto" w:fill="auto"/>
            <w:vAlign w:val="center"/>
          </w:tcPr>
          <w:p w14:paraId="651B88EE">
            <w:pPr>
              <w:widowControl/>
              <w:spacing w:line="57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01" w:type="dxa"/>
            <w:tcBorders>
              <w:top w:val="nil"/>
              <w:left w:val="single" w:color="auto" w:sz="4" w:space="0"/>
              <w:bottom w:val="single" w:color="auto" w:sz="4" w:space="0"/>
              <w:right w:val="single" w:color="auto" w:sz="4" w:space="0"/>
            </w:tcBorders>
            <w:shd w:val="clear" w:color="auto" w:fill="auto"/>
            <w:vAlign w:val="center"/>
          </w:tcPr>
          <w:p w14:paraId="69C49FC0">
            <w:pPr>
              <w:widowControl/>
              <w:spacing w:line="570" w:lineRule="exact"/>
              <w:jc w:val="left"/>
              <w:rPr>
                <w:rFonts w:ascii="宋体" w:hAnsi="宋体" w:eastAsia="宋体" w:cs="宋体"/>
                <w:color w:val="000000"/>
                <w:kern w:val="0"/>
                <w:szCs w:val="21"/>
              </w:rPr>
            </w:pPr>
          </w:p>
        </w:tc>
      </w:tr>
    </w:tbl>
    <w:p w14:paraId="50BFBB8D">
      <w:pPr>
        <w:widowControl/>
        <w:adjustRightInd w:val="0"/>
        <w:snapToGrid w:val="0"/>
        <w:spacing w:before="100" w:beforeAutospacing="1" w:after="100" w:afterAutospacing="1" w:line="570" w:lineRule="exact"/>
        <w:jc w:val="center"/>
        <w:rPr>
          <w:rFonts w:ascii="宋体" w:hAnsi="宋体" w:eastAsia="宋体" w:cs="宋体"/>
          <w:bCs/>
          <w:kern w:val="0"/>
          <w:sz w:val="28"/>
          <w:szCs w:val="28"/>
        </w:rPr>
      </w:pPr>
      <w:r>
        <w:drawing>
          <wp:anchor distT="0" distB="0" distL="114300" distR="114300" simplePos="0" relativeHeight="251660288" behindDoc="0" locked="0" layoutInCell="1" allowOverlap="1">
            <wp:simplePos x="0" y="0"/>
            <wp:positionH relativeFrom="column">
              <wp:posOffset>-1905635</wp:posOffset>
            </wp:positionH>
            <wp:positionV relativeFrom="paragraph">
              <wp:posOffset>3279775</wp:posOffset>
            </wp:positionV>
            <wp:extent cx="0" cy="0"/>
            <wp:effectExtent l="0" t="0" r="0" b="0"/>
            <wp:wrapNone/>
            <wp:docPr id="1" name="墨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墨迹 1"/>
                    <pic:cNvPicPr>
                      <a:picLocks noChangeAspect="1"/>
                    </pic:cNvPicPr>
                  </pic:nvPicPr>
                  <pic:blipFill>
                    <a:blip r:embed="rId6"/>
                    <a:stretch>
                      <a:fillRect/>
                    </a:stretch>
                  </pic:blipFill>
                  <pic:spPr>
                    <a:xfrm>
                      <a:off x="0" y="0"/>
                      <a:ext cx="0" cy="0"/>
                    </a:xfrm>
                    <a:prstGeom prst="rect">
                      <a:avLst/>
                    </a:prstGeom>
                    <a:noFill/>
                    <a:ln>
                      <a:noFill/>
                    </a:ln>
                  </pic:spPr>
                </pic:pic>
              </a:graphicData>
            </a:graphic>
          </wp:anchor>
        </w:drawing>
      </w:r>
      <w:r>
        <w:rPr>
          <w:rFonts w:hint="eastAsia" w:ascii="宋体" w:hAnsi="宋体" w:eastAsia="宋体" w:cs="宋体"/>
          <w:bCs/>
          <w:kern w:val="0"/>
          <w:sz w:val="28"/>
          <w:szCs w:val="28"/>
        </w:rPr>
        <w:t>专业：____________ 学号：____________姓名：__________</w:t>
      </w:r>
    </w:p>
    <w:p w14:paraId="62852E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eastAsia="宋体"/>
          <w:sz w:val="20"/>
          <w:szCs w:val="20"/>
        </w:rPr>
      </w:pPr>
      <w:r>
        <w:rPr>
          <w:rFonts w:hint="eastAsia" w:ascii="宋体" w:hAnsi="宋体" w:eastAsia="宋体"/>
          <w:sz w:val="20"/>
          <w:szCs w:val="20"/>
        </w:rPr>
        <w:t>备注：</w:t>
      </w:r>
    </w:p>
    <w:p w14:paraId="52E9687E">
      <w:pPr>
        <w:pStyle w:val="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420" w:leftChars="0" w:hanging="420" w:firstLineChars="0"/>
        <w:textAlignment w:val="auto"/>
        <w:rPr>
          <w:rFonts w:ascii="宋体" w:hAnsi="宋体" w:eastAsia="宋体"/>
          <w:sz w:val="20"/>
          <w:szCs w:val="20"/>
        </w:rPr>
      </w:pPr>
      <w:r>
        <w:rPr>
          <w:rFonts w:ascii="宋体" w:hAnsi="宋体" w:eastAsia="宋体" w:cstheme="minorBidi"/>
          <w:kern w:val="2"/>
          <w:sz w:val="20"/>
          <w:szCs w:val="20"/>
          <w:lang w:val="en-US" w:eastAsia="zh-CN" w:bidi="ar-SA"/>
        </w:rPr>
        <w:t>1.</w:t>
      </w:r>
      <w:r>
        <w:rPr>
          <w:rFonts w:hint="eastAsia" w:ascii="宋体" w:hAnsi="宋体" w:eastAsia="宋体"/>
          <w:sz w:val="20"/>
          <w:szCs w:val="20"/>
        </w:rPr>
        <w:t>成果自评和测评依据相应年级的学位授予成果要求;</w:t>
      </w:r>
    </w:p>
    <w:p w14:paraId="5EEEB79E">
      <w:pPr>
        <w:pStyle w:val="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420" w:leftChars="0" w:hanging="420" w:firstLineChars="0"/>
        <w:textAlignment w:val="auto"/>
        <w:rPr>
          <w:rFonts w:ascii="宋体" w:hAnsi="宋体" w:eastAsia="宋体"/>
          <w:sz w:val="20"/>
          <w:szCs w:val="20"/>
        </w:rPr>
      </w:pPr>
      <w:r>
        <w:rPr>
          <w:rFonts w:ascii="宋体" w:hAnsi="宋体" w:eastAsia="宋体" w:cstheme="minorBidi"/>
          <w:kern w:val="2"/>
          <w:sz w:val="20"/>
          <w:szCs w:val="20"/>
          <w:lang w:val="en-US" w:eastAsia="zh-CN" w:bidi="ar-SA"/>
        </w:rPr>
        <w:t>2.</w:t>
      </w:r>
      <w:r>
        <w:rPr>
          <w:rFonts w:hint="eastAsia" w:ascii="宋体" w:hAnsi="宋体" w:eastAsia="宋体"/>
          <w:sz w:val="20"/>
          <w:szCs w:val="20"/>
        </w:rPr>
        <w:t>研究生期间，已获得国家奖学金的，成果不能重复使用；</w:t>
      </w:r>
    </w:p>
    <w:p w14:paraId="1BDCBF91">
      <w:pPr>
        <w:pStyle w:val="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420" w:leftChars="0" w:hanging="420" w:firstLineChars="0"/>
        <w:textAlignment w:val="auto"/>
        <w:rPr>
          <w:rFonts w:ascii="宋体" w:hAnsi="宋体" w:eastAsia="宋体"/>
          <w:color w:val="auto"/>
          <w:sz w:val="20"/>
          <w:szCs w:val="20"/>
          <w:highlight w:val="none"/>
        </w:rPr>
      </w:pPr>
      <w:r>
        <w:rPr>
          <w:rFonts w:ascii="宋体" w:hAnsi="宋体" w:eastAsia="宋体" w:cstheme="minorBidi"/>
          <w:kern w:val="2"/>
          <w:sz w:val="20"/>
          <w:szCs w:val="20"/>
          <w:lang w:val="en-US" w:eastAsia="zh-CN" w:bidi="ar-SA"/>
        </w:rPr>
        <w:t>3.</w:t>
      </w:r>
      <w:r>
        <w:rPr>
          <w:rFonts w:hint="eastAsia" w:ascii="宋体" w:hAnsi="宋体" w:eastAsia="宋体"/>
          <w:sz w:val="20"/>
          <w:szCs w:val="20"/>
        </w:rPr>
        <w:t>测评</w:t>
      </w:r>
      <w:r>
        <w:rPr>
          <w:rFonts w:hint="eastAsia" w:ascii="宋体" w:hAnsi="宋体" w:eastAsia="宋体"/>
          <w:color w:val="auto"/>
          <w:sz w:val="20"/>
          <w:szCs w:val="20"/>
          <w:highlight w:val="none"/>
        </w:rPr>
        <w:t>总分相同时，优先考虑科研成果分较高者；</w:t>
      </w:r>
    </w:p>
    <w:p w14:paraId="1E3DBCDA">
      <w:pPr>
        <w:pStyle w:val="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0" w:leftChars="0" w:firstLine="0" w:firstLineChars="0"/>
        <w:textAlignment w:val="auto"/>
        <w:rPr>
          <w:rFonts w:ascii="宋体" w:hAnsi="宋体" w:eastAsia="宋体"/>
          <w:color w:val="auto"/>
          <w:sz w:val="20"/>
          <w:szCs w:val="20"/>
          <w:highlight w:val="none"/>
        </w:rPr>
      </w:pPr>
      <w:r>
        <w:rPr>
          <w:rFonts w:ascii="宋体" w:hAnsi="宋体" w:eastAsia="宋体" w:cstheme="minorBidi"/>
          <w:color w:val="auto"/>
          <w:kern w:val="2"/>
          <w:sz w:val="20"/>
          <w:szCs w:val="20"/>
          <w:highlight w:val="none"/>
          <w:lang w:val="en-US" w:eastAsia="zh-CN" w:bidi="ar-SA"/>
        </w:rPr>
        <w:t>4.</w:t>
      </w:r>
      <w:r>
        <w:rPr>
          <w:rFonts w:hint="eastAsia" w:ascii="宋体" w:hAnsi="宋体" w:eastAsia="宋体"/>
          <w:color w:val="auto"/>
          <w:sz w:val="20"/>
          <w:szCs w:val="20"/>
          <w:highlight w:val="none"/>
        </w:rPr>
        <w:t>对于《上海海事大学研究生学位授予成果要求》中规定的A类、B类学术论文成果，如不能提供收录证明单篇分值按降两档计分。</w:t>
      </w:r>
    </w:p>
    <w:p w14:paraId="37476A60">
      <w:pPr>
        <w:keepNext w:val="0"/>
        <w:keepLines w:val="0"/>
        <w:pageBreakBefore w:val="0"/>
        <w:widowControl w:val="0"/>
        <w:kinsoku/>
        <w:wordWrap/>
        <w:overflowPunct/>
        <w:topLinePunct w:val="0"/>
        <w:autoSpaceDE/>
        <w:autoSpaceDN/>
        <w:bidi w:val="0"/>
        <w:adjustRightInd/>
        <w:snapToGrid/>
        <w:spacing w:line="260" w:lineRule="exact"/>
        <w:ind w:right="84"/>
        <w:textAlignment w:val="auto"/>
        <w:rPr>
          <w:rFonts w:hint="default" w:ascii="宋体" w:hAnsi="宋体" w:eastAsia="宋体" w:cs="宋体"/>
          <w:color w:val="auto"/>
          <w:spacing w:val="-4"/>
          <w:highlight w:val="none"/>
          <w:lang w:val="en-US" w:eastAsia="zh-CN"/>
        </w:rPr>
      </w:pPr>
      <w:r>
        <w:rPr>
          <w:rFonts w:hint="eastAsia" w:ascii="宋体" w:hAnsi="宋体" w:eastAsia="宋体" w:cs="宋体"/>
          <w:color w:val="auto"/>
          <w:spacing w:val="-4"/>
          <w:highlight w:val="none"/>
          <w:lang w:val="en-US" w:eastAsia="zh-CN"/>
        </w:rPr>
        <w:t>5.对专业型硕士研究生参加国际交流和产教融合项目的，</w:t>
      </w:r>
      <w:bookmarkStart w:id="1" w:name="_GoBack"/>
      <w:bookmarkEnd w:id="1"/>
      <w:r>
        <w:rPr>
          <w:rFonts w:hint="eastAsia" w:ascii="宋体" w:hAnsi="宋体" w:eastAsia="宋体" w:cs="宋体"/>
          <w:color w:val="auto"/>
          <w:spacing w:val="-4"/>
          <w:highlight w:val="none"/>
          <w:lang w:val="en-US" w:eastAsia="zh-CN"/>
        </w:rPr>
        <w:t>根据实际情况，适当增加分值。</w:t>
      </w:r>
    </w:p>
    <w:p w14:paraId="0F0D9491">
      <w:pPr>
        <w:keepNext w:val="0"/>
        <w:keepLines w:val="0"/>
        <w:pageBreakBefore w:val="0"/>
        <w:widowControl w:val="0"/>
        <w:kinsoku/>
        <w:wordWrap/>
        <w:overflowPunct/>
        <w:topLinePunct w:val="0"/>
        <w:autoSpaceDE/>
        <w:autoSpaceDN/>
        <w:bidi w:val="0"/>
        <w:adjustRightInd/>
        <w:snapToGrid/>
        <w:spacing w:line="260" w:lineRule="exact"/>
        <w:ind w:right="84"/>
        <w:textAlignment w:val="auto"/>
        <w:rPr>
          <w:rFonts w:ascii="宋体" w:hAnsi="宋体" w:eastAsia="宋体"/>
          <w:color w:val="auto"/>
          <w:sz w:val="20"/>
          <w:szCs w:val="20"/>
          <w:highlight w:val="none"/>
        </w:rPr>
      </w:pPr>
      <w:r>
        <w:rPr>
          <w:rFonts w:hint="eastAsia" w:ascii="宋体" w:hAnsi="宋体" w:eastAsia="宋体" w:cs="宋体"/>
          <w:color w:val="auto"/>
          <w:spacing w:val="-4"/>
          <w:highlight w:val="none"/>
          <w:lang w:val="en-US" w:eastAsia="zh-CN"/>
        </w:rPr>
        <w:t>6.对于在中国研究生创新实践系列大赛获奖的参评硕土研究生，在评定时参照《上海海事大学研究生学位授予成果要求》标准翻倍计分。</w:t>
      </w:r>
    </w:p>
    <w:sectPr>
      <w:footerReference r:id="rId4" w:type="default"/>
      <w:pgSz w:w="11900" w:h="16840"/>
      <w:pgMar w:top="720" w:right="720" w:bottom="720" w:left="72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38840">
    <w:pPr>
      <w:pStyle w:val="3"/>
      <w:jc w:val="center"/>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47476268"/>
                </w:sdtPr>
                <w:sdtEndPr>
                  <w:rPr>
                    <w:rFonts w:ascii="宋体" w:hAnsi="宋体" w:eastAsia="宋体"/>
                    <w:sz w:val="28"/>
                    <w:szCs w:val="28"/>
                  </w:rPr>
                </w:sdtEndPr>
                <w:sdtContent>
                  <w:p w14:paraId="04B10BCF">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p w14:paraId="091DCF5A">
                <w:pPr>
                  <w:rPr>
                    <w:rFonts w:ascii="宋体" w:hAnsi="宋体" w:eastAsia="宋体"/>
                    <w:sz w:val="28"/>
                    <w:szCs w:val="2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B7AAA">
    <w:pPr>
      <w:pStyle w:val="3"/>
      <w:jc w:val="center"/>
    </w:pPr>
    <w:r>
      <w:rPr>
        <w:sz w:val="18"/>
      </w:rPr>
      <w:pict>
        <v:shape id="_x0000_s2051" o:spid="_x0000_s205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6791"/>
                </w:sdtPr>
                <w:sdtEndPr>
                  <w:rPr>
                    <w:rFonts w:ascii="宋体" w:hAnsi="宋体" w:eastAsia="宋体"/>
                    <w:sz w:val="28"/>
                    <w:szCs w:val="28"/>
                  </w:rPr>
                </w:sdtEndPr>
                <w:sdtContent>
                  <w:p w14:paraId="0C10F64D">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p w14:paraId="363B8018">
                <w:pPr>
                  <w:rPr>
                    <w:rFonts w:ascii="宋体" w:hAnsi="宋体" w:eastAsia="宋体"/>
                    <w:sz w:val="28"/>
                    <w:szCs w:val="2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3384F"/>
    <w:rsid w:val="000131C6"/>
    <w:rsid w:val="00045E40"/>
    <w:rsid w:val="000560F4"/>
    <w:rsid w:val="00061FB0"/>
    <w:rsid w:val="00067604"/>
    <w:rsid w:val="00077D58"/>
    <w:rsid w:val="00095935"/>
    <w:rsid w:val="000B339D"/>
    <w:rsid w:val="000E3BE3"/>
    <w:rsid w:val="00106779"/>
    <w:rsid w:val="00107CF8"/>
    <w:rsid w:val="00122B25"/>
    <w:rsid w:val="001267D2"/>
    <w:rsid w:val="00190B6F"/>
    <w:rsid w:val="001911D3"/>
    <w:rsid w:val="00196C47"/>
    <w:rsid w:val="001A0881"/>
    <w:rsid w:val="001B5292"/>
    <w:rsid w:val="001B7566"/>
    <w:rsid w:val="001E501E"/>
    <w:rsid w:val="0023634C"/>
    <w:rsid w:val="00243477"/>
    <w:rsid w:val="00263DD4"/>
    <w:rsid w:val="00277A14"/>
    <w:rsid w:val="002831FE"/>
    <w:rsid w:val="0028331B"/>
    <w:rsid w:val="00293FB7"/>
    <w:rsid w:val="002A23B2"/>
    <w:rsid w:val="002B6900"/>
    <w:rsid w:val="002B757D"/>
    <w:rsid w:val="002C4D03"/>
    <w:rsid w:val="002C5319"/>
    <w:rsid w:val="002D6183"/>
    <w:rsid w:val="002F68A3"/>
    <w:rsid w:val="00312890"/>
    <w:rsid w:val="0032102D"/>
    <w:rsid w:val="00326B9A"/>
    <w:rsid w:val="00334B76"/>
    <w:rsid w:val="00337AB0"/>
    <w:rsid w:val="00357EC9"/>
    <w:rsid w:val="00360FA9"/>
    <w:rsid w:val="00364E7E"/>
    <w:rsid w:val="00386EAD"/>
    <w:rsid w:val="0039475D"/>
    <w:rsid w:val="003B7019"/>
    <w:rsid w:val="003C0232"/>
    <w:rsid w:val="003C70EA"/>
    <w:rsid w:val="003D7E0D"/>
    <w:rsid w:val="003E5E21"/>
    <w:rsid w:val="003F329A"/>
    <w:rsid w:val="00431E98"/>
    <w:rsid w:val="0044147B"/>
    <w:rsid w:val="00446CBC"/>
    <w:rsid w:val="00473B86"/>
    <w:rsid w:val="00491164"/>
    <w:rsid w:val="00495A1D"/>
    <w:rsid w:val="004B50E3"/>
    <w:rsid w:val="004C1175"/>
    <w:rsid w:val="004C3671"/>
    <w:rsid w:val="005121E0"/>
    <w:rsid w:val="005167FD"/>
    <w:rsid w:val="00526190"/>
    <w:rsid w:val="00533E7F"/>
    <w:rsid w:val="00545AB2"/>
    <w:rsid w:val="00551E13"/>
    <w:rsid w:val="005565A4"/>
    <w:rsid w:val="00560477"/>
    <w:rsid w:val="00562CA8"/>
    <w:rsid w:val="00583AFB"/>
    <w:rsid w:val="00594770"/>
    <w:rsid w:val="005D7175"/>
    <w:rsid w:val="005E018A"/>
    <w:rsid w:val="00612D89"/>
    <w:rsid w:val="00616576"/>
    <w:rsid w:val="00631BCD"/>
    <w:rsid w:val="00632C2E"/>
    <w:rsid w:val="0063384F"/>
    <w:rsid w:val="00641ACF"/>
    <w:rsid w:val="006500CF"/>
    <w:rsid w:val="00660F95"/>
    <w:rsid w:val="006A5884"/>
    <w:rsid w:val="006B4640"/>
    <w:rsid w:val="006D7B6D"/>
    <w:rsid w:val="006E6BA1"/>
    <w:rsid w:val="00700001"/>
    <w:rsid w:val="00702422"/>
    <w:rsid w:val="00702A1F"/>
    <w:rsid w:val="00704BE6"/>
    <w:rsid w:val="007259D3"/>
    <w:rsid w:val="00725BDF"/>
    <w:rsid w:val="00773295"/>
    <w:rsid w:val="0078582E"/>
    <w:rsid w:val="007976B5"/>
    <w:rsid w:val="007D1D97"/>
    <w:rsid w:val="007E11FA"/>
    <w:rsid w:val="007E37EA"/>
    <w:rsid w:val="007F2529"/>
    <w:rsid w:val="00805325"/>
    <w:rsid w:val="00807496"/>
    <w:rsid w:val="0084316B"/>
    <w:rsid w:val="00855BB4"/>
    <w:rsid w:val="00856593"/>
    <w:rsid w:val="00865FA6"/>
    <w:rsid w:val="00874163"/>
    <w:rsid w:val="0087665B"/>
    <w:rsid w:val="00876EF2"/>
    <w:rsid w:val="00887F73"/>
    <w:rsid w:val="008A2AF5"/>
    <w:rsid w:val="008C2205"/>
    <w:rsid w:val="008C288B"/>
    <w:rsid w:val="008C7FFD"/>
    <w:rsid w:val="008D2399"/>
    <w:rsid w:val="008D3D81"/>
    <w:rsid w:val="008E7A75"/>
    <w:rsid w:val="00907B85"/>
    <w:rsid w:val="009745E8"/>
    <w:rsid w:val="0097470E"/>
    <w:rsid w:val="009D5F11"/>
    <w:rsid w:val="009D732E"/>
    <w:rsid w:val="009E4211"/>
    <w:rsid w:val="009E4CAE"/>
    <w:rsid w:val="009E7508"/>
    <w:rsid w:val="009F04BB"/>
    <w:rsid w:val="009F5606"/>
    <w:rsid w:val="009F7D04"/>
    <w:rsid w:val="00A20C1D"/>
    <w:rsid w:val="00A37272"/>
    <w:rsid w:val="00A431CC"/>
    <w:rsid w:val="00A45D32"/>
    <w:rsid w:val="00A8439D"/>
    <w:rsid w:val="00AA0CB3"/>
    <w:rsid w:val="00AB7B99"/>
    <w:rsid w:val="00AE4081"/>
    <w:rsid w:val="00AF1FA4"/>
    <w:rsid w:val="00B2405D"/>
    <w:rsid w:val="00B43E16"/>
    <w:rsid w:val="00B55A5E"/>
    <w:rsid w:val="00B57152"/>
    <w:rsid w:val="00B60576"/>
    <w:rsid w:val="00B64589"/>
    <w:rsid w:val="00B77090"/>
    <w:rsid w:val="00B85A9C"/>
    <w:rsid w:val="00B86268"/>
    <w:rsid w:val="00BA49C4"/>
    <w:rsid w:val="00BB1993"/>
    <w:rsid w:val="00BB23D9"/>
    <w:rsid w:val="00BF0D9C"/>
    <w:rsid w:val="00C10BA0"/>
    <w:rsid w:val="00C27F86"/>
    <w:rsid w:val="00C464D3"/>
    <w:rsid w:val="00C611E3"/>
    <w:rsid w:val="00CF2A2A"/>
    <w:rsid w:val="00CF73F2"/>
    <w:rsid w:val="00D12A01"/>
    <w:rsid w:val="00D12E82"/>
    <w:rsid w:val="00D16BEB"/>
    <w:rsid w:val="00D24869"/>
    <w:rsid w:val="00D31588"/>
    <w:rsid w:val="00D3534F"/>
    <w:rsid w:val="00D5359F"/>
    <w:rsid w:val="00D70B12"/>
    <w:rsid w:val="00D8636C"/>
    <w:rsid w:val="00DC1335"/>
    <w:rsid w:val="00DD0BD7"/>
    <w:rsid w:val="00DD7227"/>
    <w:rsid w:val="00E118CA"/>
    <w:rsid w:val="00E12EFA"/>
    <w:rsid w:val="00E40279"/>
    <w:rsid w:val="00E435A1"/>
    <w:rsid w:val="00E4563A"/>
    <w:rsid w:val="00E544D5"/>
    <w:rsid w:val="00E559BA"/>
    <w:rsid w:val="00E81BF2"/>
    <w:rsid w:val="00E8700A"/>
    <w:rsid w:val="00EC3047"/>
    <w:rsid w:val="00EC5F4B"/>
    <w:rsid w:val="00ED43DE"/>
    <w:rsid w:val="00EF1411"/>
    <w:rsid w:val="00F06B54"/>
    <w:rsid w:val="00F146ED"/>
    <w:rsid w:val="00F50D8C"/>
    <w:rsid w:val="00F663DF"/>
    <w:rsid w:val="00F73912"/>
    <w:rsid w:val="00F8016D"/>
    <w:rsid w:val="00F8084F"/>
    <w:rsid w:val="00F823A8"/>
    <w:rsid w:val="00FF4A80"/>
    <w:rsid w:val="027A76EE"/>
    <w:rsid w:val="0B27418B"/>
    <w:rsid w:val="0DE819AF"/>
    <w:rsid w:val="0F3A7074"/>
    <w:rsid w:val="10615A49"/>
    <w:rsid w:val="11EC08DF"/>
    <w:rsid w:val="15E2762C"/>
    <w:rsid w:val="179A59D6"/>
    <w:rsid w:val="20C95670"/>
    <w:rsid w:val="2735125C"/>
    <w:rsid w:val="285048C9"/>
    <w:rsid w:val="2A482A12"/>
    <w:rsid w:val="2AE01F34"/>
    <w:rsid w:val="31CD0B71"/>
    <w:rsid w:val="33022C64"/>
    <w:rsid w:val="3BFA097C"/>
    <w:rsid w:val="3CA377E0"/>
    <w:rsid w:val="3D6F7789"/>
    <w:rsid w:val="418930BE"/>
    <w:rsid w:val="466B45AC"/>
    <w:rsid w:val="47223F30"/>
    <w:rsid w:val="54D758A7"/>
    <w:rsid w:val="595219A0"/>
    <w:rsid w:val="5A6000EC"/>
    <w:rsid w:val="5DD530A8"/>
    <w:rsid w:val="6377272F"/>
    <w:rsid w:val="657A02B4"/>
    <w:rsid w:val="69701C01"/>
    <w:rsid w:val="6B9807AF"/>
    <w:rsid w:val="6BF86C61"/>
    <w:rsid w:val="6D926F63"/>
    <w:rsid w:val="6EE449F0"/>
    <w:rsid w:val="704E2A69"/>
    <w:rsid w:val="70A64653"/>
    <w:rsid w:val="72E90BB3"/>
    <w:rsid w:val="7E894F28"/>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rFonts w:ascii="宋体" w:eastAsia="宋体"/>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8">
    <w:name w:val="List Paragraph"/>
    <w:basedOn w:val="1"/>
    <w:qFormat/>
    <w:uiPriority w:val="34"/>
    <w:pPr>
      <w:ind w:firstLine="420" w:firstLineChars="200"/>
    </w:pPr>
  </w:style>
  <w:style w:type="character" w:customStyle="1" w:styleId="9">
    <w:name w:val="批注框文本 字符"/>
    <w:basedOn w:val="7"/>
    <w:link w:val="2"/>
    <w:semiHidden/>
    <w:qFormat/>
    <w:uiPriority w:val="99"/>
    <w:rPr>
      <w:rFonts w:ascii="宋体" w:eastAsia="宋体"/>
      <w:sz w:val="18"/>
      <w:szCs w:val="18"/>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3">
    <w:name w:val="fontstyle01"/>
    <w:basedOn w:val="7"/>
    <w:qFormat/>
    <w:uiPriority w:val="0"/>
    <w:rPr>
      <w:rFonts w:hint="eastAsia" w:ascii="仿宋_GB2312" w:eastAsia="仿宋_GB2312"/>
      <w:color w:val="000000"/>
      <w:sz w:val="28"/>
      <w:szCs w:val="28"/>
    </w:rPr>
  </w:style>
  <w:style w:type="paragraph" w:customStyle="1" w:styleId="1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Info spid="_x0000_s2051"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201454-CCDD-472F-AA9E-76D269F9820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2445</Words>
  <Characters>2705</Characters>
  <Lines>19</Lines>
  <Paragraphs>5</Paragraphs>
  <TotalTime>0</TotalTime>
  <ScaleCrop>false</ScaleCrop>
  <LinksUpToDate>false</LinksUpToDate>
  <CharactersWithSpaces>2955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2023-09-19T09:05:00Z</dcterms:created>
  <dc:creator>loveaimr@sina.cn</dc:creator>
  <cp:lastModifiedBy>高睿</cp:lastModifiedBy>
  <cp:lastPrinted>2021-09-24T10:46:00Z</cp:lastPrinted>
  <dcterms:modified xsi:type="dcterms:W3CDTF">2026-09-13T05:06:51Z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049b457aa9457e76cbcf3de5196ac107b16f80d5a7de99acb284dafdd9aba962</vt:lpwstr>
  </property>
  <property fmtid="{D5CDD505-2E9C-101B-9397-08002B2CF9AE}" pid="3" name="KSOTemplateDocerSaveRecord">
    <vt:lpwstr>eyJoZGlkIjoiODY3MDNlNzU5YmIwZjg4N2EzMDdmZjkzMzA3ODEyNTgiLCJ1c2VySWQiOiIxNjE0NjIwMDY0In0=</vt:lpwstr>
  </property>
  <property fmtid="{D5CDD505-2E9C-101B-9397-08002B2CF9AE}" pid="4" name="KSOProductBuildVer">
    <vt:lpwstr>2052-12.1.0.28043</vt:lpwstr>
  </property>
  <property fmtid="{D5CDD505-2E9C-101B-9397-08002B2CF9AE}" pid="5" name="ICV">
    <vt:lpwstr>CCFA70C2A1154694BE0A9176D301ADEE_12</vt:lpwstr>
  </property>
</Properties>
</file>